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867028" w14:textId="455620D6" w:rsidR="001B279C" w:rsidRDefault="001B279C" w:rsidP="001B279C">
      <w:pPr>
        <w:spacing w:after="0" w:line="240" w:lineRule="auto"/>
        <w:jc w:val="center"/>
        <w:rPr>
          <w:rFonts w:ascii="Times New Roman" w:hAnsi="Times New Roman" w:cs="Times New Roman"/>
          <w:b/>
          <w:bCs/>
        </w:rPr>
      </w:pPr>
      <w:r>
        <w:rPr>
          <w:rFonts w:ascii="Times New Roman" w:hAnsi="Times New Roman" w:cs="Times New Roman"/>
          <w:b/>
          <w:bCs/>
        </w:rPr>
        <w:t>The Effects of Earmarked Property Taxes on Education Spending: Evidence from Michigan</w:t>
      </w:r>
    </w:p>
    <w:p w14:paraId="4568C5F1" w14:textId="18654795" w:rsidR="001A1945" w:rsidRDefault="001A1945" w:rsidP="001B279C">
      <w:pPr>
        <w:spacing w:after="0" w:line="240" w:lineRule="auto"/>
        <w:jc w:val="center"/>
        <w:rPr>
          <w:rFonts w:ascii="Times New Roman" w:hAnsi="Times New Roman" w:cs="Times New Roman"/>
          <w:b/>
          <w:bCs/>
        </w:rPr>
      </w:pPr>
      <w:r>
        <w:rPr>
          <w:rFonts w:ascii="Times New Roman" w:hAnsi="Times New Roman" w:cs="Times New Roman"/>
          <w:b/>
          <w:bCs/>
        </w:rPr>
        <w:t>Matthew Guzman</w:t>
      </w:r>
      <w:r>
        <w:rPr>
          <w:rStyle w:val="FootnoteReference"/>
          <w:rFonts w:ascii="Times New Roman" w:hAnsi="Times New Roman" w:cs="Times New Roman"/>
          <w:b/>
          <w:bCs/>
        </w:rPr>
        <w:footnoteReference w:id="1"/>
      </w:r>
    </w:p>
    <w:p w14:paraId="68920015" w14:textId="1933D2CE" w:rsidR="001B279C" w:rsidRPr="001B279C" w:rsidRDefault="001B279C" w:rsidP="001B279C">
      <w:pPr>
        <w:spacing w:after="0" w:line="240" w:lineRule="auto"/>
        <w:jc w:val="center"/>
        <w:rPr>
          <w:rFonts w:ascii="Times New Roman" w:hAnsi="Times New Roman" w:cs="Times New Roman"/>
          <w:i/>
          <w:iCs/>
        </w:rPr>
      </w:pPr>
      <w:r w:rsidRPr="001B279C">
        <w:rPr>
          <w:rFonts w:ascii="Times New Roman" w:hAnsi="Times New Roman" w:cs="Times New Roman"/>
          <w:i/>
          <w:iCs/>
        </w:rPr>
        <w:t>Abstract:</w:t>
      </w:r>
      <w:r>
        <w:rPr>
          <w:rFonts w:ascii="Times New Roman" w:hAnsi="Times New Roman" w:cs="Times New Roman"/>
          <w:i/>
          <w:iCs/>
        </w:rPr>
        <w:t xml:space="preserve"> Substantial research has investigated the effects of conditional or earmarked grants on local spending. Using data on earmarked special education property taxes in Michigan, this paper presents evidence of how local spending changes in response to earmarked funding from local sources. I find that special education property taxes increase </w:t>
      </w:r>
      <w:r w:rsidR="00554385">
        <w:rPr>
          <w:rFonts w:ascii="Times New Roman" w:hAnsi="Times New Roman" w:cs="Times New Roman"/>
          <w:i/>
          <w:iCs/>
        </w:rPr>
        <w:t>special education revenues and special education salaries,</w:t>
      </w:r>
      <w:r>
        <w:rPr>
          <w:rFonts w:ascii="Times New Roman" w:hAnsi="Times New Roman" w:cs="Times New Roman"/>
          <w:i/>
          <w:iCs/>
        </w:rPr>
        <w:t xml:space="preserve"> and local governments transfer </w:t>
      </w:r>
      <w:proofErr w:type="gramStart"/>
      <w:r>
        <w:rPr>
          <w:rFonts w:ascii="Times New Roman" w:hAnsi="Times New Roman" w:cs="Times New Roman"/>
          <w:i/>
          <w:iCs/>
        </w:rPr>
        <w:t>the majority of</w:t>
      </w:r>
      <w:proofErr w:type="gramEnd"/>
      <w:r>
        <w:rPr>
          <w:rFonts w:ascii="Times New Roman" w:hAnsi="Times New Roman" w:cs="Times New Roman"/>
          <w:i/>
          <w:iCs/>
        </w:rPr>
        <w:t xml:space="preserve"> funding to local school districts. At the local level, additional </w:t>
      </w:r>
      <w:r w:rsidR="00554385">
        <w:rPr>
          <w:rFonts w:ascii="Times New Roman" w:hAnsi="Times New Roman" w:cs="Times New Roman"/>
          <w:i/>
          <w:iCs/>
        </w:rPr>
        <w:t xml:space="preserve">revenues </w:t>
      </w:r>
      <w:r>
        <w:rPr>
          <w:rFonts w:ascii="Times New Roman" w:hAnsi="Times New Roman" w:cs="Times New Roman"/>
          <w:i/>
          <w:iCs/>
        </w:rPr>
        <w:t>“leak” to general education spending</w:t>
      </w:r>
      <w:r w:rsidR="00554385">
        <w:rPr>
          <w:rFonts w:ascii="Times New Roman" w:hAnsi="Times New Roman" w:cs="Times New Roman"/>
          <w:i/>
          <w:iCs/>
        </w:rPr>
        <w:t xml:space="preserve">. </w:t>
      </w:r>
      <w:r>
        <w:rPr>
          <w:rFonts w:ascii="Times New Roman" w:hAnsi="Times New Roman" w:cs="Times New Roman"/>
          <w:i/>
          <w:iCs/>
        </w:rPr>
        <w:t>This suggests that</w:t>
      </w:r>
      <w:r w:rsidR="00554385">
        <w:rPr>
          <w:rFonts w:ascii="Times New Roman" w:hAnsi="Times New Roman" w:cs="Times New Roman"/>
          <w:i/>
          <w:iCs/>
        </w:rPr>
        <w:t xml:space="preserve"> while conditional grants</w:t>
      </w:r>
      <w:r>
        <w:rPr>
          <w:rFonts w:ascii="Times New Roman" w:hAnsi="Times New Roman" w:cs="Times New Roman"/>
          <w:i/>
          <w:iCs/>
        </w:rPr>
        <w:t xml:space="preserve"> are effective tools to increase targeted public spending</w:t>
      </w:r>
      <w:r w:rsidR="00554385">
        <w:rPr>
          <w:rFonts w:ascii="Times New Roman" w:hAnsi="Times New Roman" w:cs="Times New Roman"/>
          <w:i/>
          <w:iCs/>
        </w:rPr>
        <w:t>, school districts treat conditional grants as fungible</w:t>
      </w:r>
      <w:r>
        <w:rPr>
          <w:rFonts w:ascii="Times New Roman" w:hAnsi="Times New Roman" w:cs="Times New Roman"/>
          <w:i/>
          <w:iCs/>
        </w:rPr>
        <w:t>.</w:t>
      </w:r>
    </w:p>
    <w:p w14:paraId="3EBC39CE" w14:textId="74F12E34" w:rsidR="005476FF" w:rsidRPr="00555E09" w:rsidRDefault="00BB0D36" w:rsidP="00555E09">
      <w:pPr>
        <w:spacing w:after="0" w:line="480" w:lineRule="auto"/>
        <w:rPr>
          <w:rFonts w:ascii="Times New Roman" w:hAnsi="Times New Roman" w:cs="Times New Roman"/>
          <w:b/>
          <w:bCs/>
        </w:rPr>
      </w:pPr>
      <w:r w:rsidRPr="00555E09">
        <w:rPr>
          <w:rFonts w:ascii="Times New Roman" w:hAnsi="Times New Roman" w:cs="Times New Roman"/>
          <w:b/>
          <w:bCs/>
        </w:rPr>
        <w:t>Intro</w:t>
      </w:r>
      <w:r w:rsidR="00555E09" w:rsidRPr="00555E09">
        <w:rPr>
          <w:rFonts w:ascii="Times New Roman" w:hAnsi="Times New Roman" w:cs="Times New Roman"/>
          <w:b/>
          <w:bCs/>
        </w:rPr>
        <w:t>duction</w:t>
      </w:r>
    </w:p>
    <w:p w14:paraId="504A80DB" w14:textId="22E1EA17" w:rsidR="00C37CC6" w:rsidRDefault="00E74C09" w:rsidP="00555E09">
      <w:pPr>
        <w:spacing w:after="0" w:line="480" w:lineRule="auto"/>
        <w:ind w:firstLine="720"/>
        <w:rPr>
          <w:rFonts w:ascii="Times New Roman" w:hAnsi="Times New Roman" w:cs="Times New Roman"/>
        </w:rPr>
      </w:pPr>
      <w:r>
        <w:rPr>
          <w:rFonts w:ascii="Times New Roman" w:hAnsi="Times New Roman" w:cs="Times New Roman"/>
        </w:rPr>
        <w:t>C</w:t>
      </w:r>
      <w:r w:rsidR="00C37CC6">
        <w:rPr>
          <w:rFonts w:ascii="Times New Roman" w:hAnsi="Times New Roman" w:cs="Times New Roman"/>
        </w:rPr>
        <w:t xml:space="preserve">onditional </w:t>
      </w:r>
      <w:r>
        <w:rPr>
          <w:rFonts w:ascii="Times New Roman" w:hAnsi="Times New Roman" w:cs="Times New Roman"/>
        </w:rPr>
        <w:t xml:space="preserve">or earmarked </w:t>
      </w:r>
      <w:r w:rsidR="00C37CC6">
        <w:rPr>
          <w:rFonts w:ascii="Times New Roman" w:hAnsi="Times New Roman" w:cs="Times New Roman"/>
        </w:rPr>
        <w:t>grants have</w:t>
      </w:r>
      <w:r w:rsidR="00A82068">
        <w:rPr>
          <w:rFonts w:ascii="Times New Roman" w:hAnsi="Times New Roman" w:cs="Times New Roman"/>
        </w:rPr>
        <w:t xml:space="preserve"> </w:t>
      </w:r>
      <w:r w:rsidR="00C37CC6">
        <w:rPr>
          <w:rFonts w:ascii="Times New Roman" w:hAnsi="Times New Roman" w:cs="Times New Roman"/>
        </w:rPr>
        <w:t>emerged as an effect</w:t>
      </w:r>
      <w:r w:rsidR="00CE6ECB">
        <w:rPr>
          <w:rFonts w:ascii="Times New Roman" w:hAnsi="Times New Roman" w:cs="Times New Roman"/>
        </w:rPr>
        <w:t>ive</w:t>
      </w:r>
      <w:r w:rsidR="00C37CC6">
        <w:rPr>
          <w:rFonts w:ascii="Times New Roman" w:hAnsi="Times New Roman" w:cs="Times New Roman"/>
        </w:rPr>
        <w:t xml:space="preserve"> tool to induce spending </w:t>
      </w:r>
      <w:r>
        <w:rPr>
          <w:rFonts w:ascii="Times New Roman" w:hAnsi="Times New Roman" w:cs="Times New Roman"/>
        </w:rPr>
        <w:t xml:space="preserve">in public finance </w:t>
      </w:r>
      <w:r w:rsidR="00C37CC6">
        <w:rPr>
          <w:rFonts w:ascii="Times New Roman" w:hAnsi="Times New Roman" w:cs="Times New Roman"/>
        </w:rPr>
        <w:t>(</w:t>
      </w:r>
      <w:r w:rsidR="000F74BE">
        <w:rPr>
          <w:rFonts w:ascii="Times New Roman" w:hAnsi="Times New Roman" w:cs="Times New Roman"/>
        </w:rPr>
        <w:t xml:space="preserve">Thornton, 2012; </w:t>
      </w:r>
      <w:proofErr w:type="spellStart"/>
      <w:r w:rsidR="00AB3C0E">
        <w:rPr>
          <w:rFonts w:ascii="Times New Roman" w:hAnsi="Times New Roman" w:cs="Times New Roman"/>
        </w:rPr>
        <w:t>Mehririz</w:t>
      </w:r>
      <w:proofErr w:type="spellEnd"/>
      <w:r w:rsidR="00AB3C0E">
        <w:rPr>
          <w:rFonts w:ascii="Times New Roman" w:hAnsi="Times New Roman" w:cs="Times New Roman"/>
        </w:rPr>
        <w:t xml:space="preserve"> &amp; Marceau, 2014</w:t>
      </w:r>
      <w:r w:rsidR="00C37CC6">
        <w:rPr>
          <w:rFonts w:ascii="Times New Roman" w:hAnsi="Times New Roman" w:cs="Times New Roman"/>
        </w:rPr>
        <w:t>). Conditional grants comprise grants in aid that include stipulations and reporting requirements regarding how funds may be spent</w:t>
      </w:r>
      <w:r w:rsidR="00A82068">
        <w:rPr>
          <w:rFonts w:ascii="Times New Roman" w:hAnsi="Times New Roman" w:cs="Times New Roman"/>
        </w:rPr>
        <w:t>,</w:t>
      </w:r>
      <w:r w:rsidR="00C37CC6">
        <w:rPr>
          <w:rFonts w:ascii="Times New Roman" w:hAnsi="Times New Roman" w:cs="Times New Roman"/>
        </w:rPr>
        <w:t xml:space="preserve"> </w:t>
      </w:r>
      <w:r w:rsidR="00A82068">
        <w:rPr>
          <w:rFonts w:ascii="Times New Roman" w:hAnsi="Times New Roman" w:cs="Times New Roman"/>
        </w:rPr>
        <w:t>and r</w:t>
      </w:r>
      <w:r w:rsidR="00C37CC6">
        <w:rPr>
          <w:rFonts w:ascii="Times New Roman" w:hAnsi="Times New Roman" w:cs="Times New Roman"/>
        </w:rPr>
        <w:t xml:space="preserve">esearch demonstrates that conditional grants are more effective for increasing </w:t>
      </w:r>
      <w:r w:rsidR="00F8644B">
        <w:rPr>
          <w:rFonts w:ascii="Times New Roman" w:hAnsi="Times New Roman" w:cs="Times New Roman"/>
        </w:rPr>
        <w:t xml:space="preserve">targeted </w:t>
      </w:r>
      <w:r w:rsidR="00C37CC6">
        <w:rPr>
          <w:rFonts w:ascii="Times New Roman" w:hAnsi="Times New Roman" w:cs="Times New Roman"/>
        </w:rPr>
        <w:t>public expenditures than unconditional grants</w:t>
      </w:r>
      <w:r w:rsidR="00A82068">
        <w:rPr>
          <w:rFonts w:ascii="Times New Roman" w:hAnsi="Times New Roman" w:cs="Times New Roman"/>
        </w:rPr>
        <w:t xml:space="preserve"> (King, 1984; Bradford &amp; Oates, 1971b).</w:t>
      </w:r>
      <w:r w:rsidR="00C37CC6">
        <w:rPr>
          <w:rFonts w:ascii="Times New Roman" w:hAnsi="Times New Roman" w:cs="Times New Roman"/>
        </w:rPr>
        <w:t xml:space="preserve"> </w:t>
      </w:r>
      <w:r w:rsidR="00A82068">
        <w:rPr>
          <w:rFonts w:ascii="Times New Roman" w:hAnsi="Times New Roman" w:cs="Times New Roman"/>
        </w:rPr>
        <w:t xml:space="preserve">In contrast to unconditional grants, </w:t>
      </w:r>
      <w:r w:rsidR="00C37CC6">
        <w:rPr>
          <w:rFonts w:ascii="Times New Roman" w:hAnsi="Times New Roman" w:cs="Times New Roman"/>
        </w:rPr>
        <w:t xml:space="preserve">local governments </w:t>
      </w:r>
      <w:r w:rsidR="00F8644B">
        <w:rPr>
          <w:rFonts w:ascii="Times New Roman" w:hAnsi="Times New Roman" w:cs="Times New Roman"/>
        </w:rPr>
        <w:t>are less likely to</w:t>
      </w:r>
      <w:r w:rsidR="00C37CC6">
        <w:rPr>
          <w:rFonts w:ascii="Times New Roman" w:hAnsi="Times New Roman" w:cs="Times New Roman"/>
        </w:rPr>
        <w:t xml:space="preserve"> decrease local tax effort to offset additional revenues</w:t>
      </w:r>
      <w:r w:rsidR="000F74BE">
        <w:rPr>
          <w:rFonts w:ascii="Times New Roman" w:hAnsi="Times New Roman" w:cs="Times New Roman"/>
        </w:rPr>
        <w:t xml:space="preserve"> </w:t>
      </w:r>
      <w:r w:rsidR="00A82068">
        <w:rPr>
          <w:rFonts w:ascii="Times New Roman" w:hAnsi="Times New Roman" w:cs="Times New Roman"/>
        </w:rPr>
        <w:t xml:space="preserve">following the implementation of conditional grants </w:t>
      </w:r>
      <w:r w:rsidR="000F74BE">
        <w:rPr>
          <w:rFonts w:ascii="Times New Roman" w:hAnsi="Times New Roman" w:cs="Times New Roman"/>
        </w:rPr>
        <w:t xml:space="preserve">(Brun &amp; El </w:t>
      </w:r>
      <w:proofErr w:type="spellStart"/>
      <w:r w:rsidR="000F74BE">
        <w:rPr>
          <w:rFonts w:ascii="Times New Roman" w:hAnsi="Times New Roman" w:cs="Times New Roman"/>
        </w:rPr>
        <w:t>Khardi</w:t>
      </w:r>
      <w:proofErr w:type="spellEnd"/>
      <w:r w:rsidR="000F74BE">
        <w:rPr>
          <w:rFonts w:ascii="Times New Roman" w:hAnsi="Times New Roman" w:cs="Times New Roman"/>
        </w:rPr>
        <w:t>, 2016</w:t>
      </w:r>
      <w:r w:rsidR="00F8644B">
        <w:rPr>
          <w:rFonts w:ascii="Times New Roman" w:hAnsi="Times New Roman" w:cs="Times New Roman"/>
        </w:rPr>
        <w:t xml:space="preserve">; </w:t>
      </w:r>
      <w:r w:rsidR="00A82068">
        <w:rPr>
          <w:rFonts w:ascii="Times New Roman" w:hAnsi="Times New Roman" w:cs="Times New Roman"/>
        </w:rPr>
        <w:t>Dye &amp; McGuire, 1997</w:t>
      </w:r>
      <w:r w:rsidR="00F8644B">
        <w:rPr>
          <w:rFonts w:ascii="Times New Roman" w:hAnsi="Times New Roman" w:cs="Times New Roman"/>
        </w:rPr>
        <w:t>)</w:t>
      </w:r>
      <w:r w:rsidR="00C37CC6">
        <w:rPr>
          <w:rFonts w:ascii="Times New Roman" w:hAnsi="Times New Roman" w:cs="Times New Roman"/>
        </w:rPr>
        <w:t>.</w:t>
      </w:r>
    </w:p>
    <w:p w14:paraId="0B8206A5" w14:textId="43863A6F" w:rsidR="00C37CC6" w:rsidRDefault="00C37CC6" w:rsidP="00555E09">
      <w:pPr>
        <w:spacing w:after="0" w:line="480" w:lineRule="auto"/>
        <w:ind w:firstLine="720"/>
        <w:rPr>
          <w:rFonts w:ascii="Times New Roman" w:hAnsi="Times New Roman" w:cs="Times New Roman"/>
        </w:rPr>
      </w:pPr>
      <w:r>
        <w:rPr>
          <w:rFonts w:ascii="Times New Roman" w:hAnsi="Times New Roman" w:cs="Times New Roman"/>
        </w:rPr>
        <w:t xml:space="preserve">While substantial research has investigated the impacts of </w:t>
      </w:r>
      <w:r w:rsidR="003E6AEC">
        <w:rPr>
          <w:rFonts w:ascii="Times New Roman" w:hAnsi="Times New Roman" w:cs="Times New Roman"/>
        </w:rPr>
        <w:t xml:space="preserve">earmarked </w:t>
      </w:r>
      <w:r>
        <w:rPr>
          <w:rFonts w:ascii="Times New Roman" w:hAnsi="Times New Roman" w:cs="Times New Roman"/>
        </w:rPr>
        <w:t xml:space="preserve">grants on local spending, less research has considered the effects of </w:t>
      </w:r>
      <w:r w:rsidR="003E6AEC">
        <w:rPr>
          <w:rFonts w:ascii="Times New Roman" w:hAnsi="Times New Roman" w:cs="Times New Roman"/>
        </w:rPr>
        <w:t xml:space="preserve">earmarked property </w:t>
      </w:r>
      <w:r>
        <w:rPr>
          <w:rFonts w:ascii="Times New Roman" w:hAnsi="Times New Roman" w:cs="Times New Roman"/>
        </w:rPr>
        <w:t xml:space="preserve">taxes. Like conditional grants, </w:t>
      </w:r>
      <w:r w:rsidR="003E6AEC">
        <w:rPr>
          <w:rFonts w:ascii="Times New Roman" w:hAnsi="Times New Roman" w:cs="Times New Roman"/>
        </w:rPr>
        <w:t>earmarked</w:t>
      </w:r>
      <w:r>
        <w:rPr>
          <w:rFonts w:ascii="Times New Roman" w:hAnsi="Times New Roman" w:cs="Times New Roman"/>
        </w:rPr>
        <w:t xml:space="preserve"> </w:t>
      </w:r>
      <w:r w:rsidR="003E6AEC">
        <w:rPr>
          <w:rFonts w:ascii="Times New Roman" w:hAnsi="Times New Roman" w:cs="Times New Roman"/>
        </w:rPr>
        <w:t xml:space="preserve">property </w:t>
      </w:r>
      <w:r>
        <w:rPr>
          <w:rFonts w:ascii="Times New Roman" w:hAnsi="Times New Roman" w:cs="Times New Roman"/>
        </w:rPr>
        <w:t>taxes</w:t>
      </w:r>
      <w:r w:rsidR="003E6AEC">
        <w:rPr>
          <w:rFonts w:ascii="Times New Roman" w:hAnsi="Times New Roman" w:cs="Times New Roman"/>
        </w:rPr>
        <w:t xml:space="preserve"> are conditional revenue sources that may only be spent on specific local government functions. These types of taxes are less common than conditional grants or dedicated sales taxes, but they are growing across the U.S. in the forms of property </w:t>
      </w:r>
      <w:r w:rsidR="003E6AEC">
        <w:rPr>
          <w:rFonts w:ascii="Times New Roman" w:hAnsi="Times New Roman" w:cs="Times New Roman"/>
        </w:rPr>
        <w:lastRenderedPageBreak/>
        <w:t>taxes for community colleges (Dowd &amp; Grant, 2006), mental health services taxes (Purtle et al., 2023), and property taxes in support of local arts and culture (Rushton, 200</w:t>
      </w:r>
      <w:r w:rsidR="00A82068">
        <w:rPr>
          <w:rFonts w:ascii="Times New Roman" w:hAnsi="Times New Roman" w:cs="Times New Roman"/>
        </w:rPr>
        <w:t>4, 2005</w:t>
      </w:r>
      <w:r w:rsidR="003E6AEC">
        <w:rPr>
          <w:rFonts w:ascii="Times New Roman" w:hAnsi="Times New Roman" w:cs="Times New Roman"/>
        </w:rPr>
        <w:t>).</w:t>
      </w:r>
    </w:p>
    <w:p w14:paraId="5FE1BD81" w14:textId="77777777" w:rsidR="005F16EE" w:rsidRDefault="00BB0D36" w:rsidP="00397F9A">
      <w:pPr>
        <w:spacing w:after="0" w:line="480" w:lineRule="auto"/>
        <w:ind w:firstLine="720"/>
        <w:rPr>
          <w:rFonts w:ascii="Times New Roman" w:hAnsi="Times New Roman" w:cs="Times New Roman"/>
        </w:rPr>
      </w:pPr>
      <w:r w:rsidRPr="00555E09">
        <w:rPr>
          <w:rFonts w:ascii="Times New Roman" w:hAnsi="Times New Roman" w:cs="Times New Roman"/>
        </w:rPr>
        <w:t xml:space="preserve">Using the timing of local property tax changes in Michigan, </w:t>
      </w:r>
      <w:r w:rsidR="001026B7">
        <w:rPr>
          <w:rFonts w:ascii="Times New Roman" w:hAnsi="Times New Roman" w:cs="Times New Roman"/>
        </w:rPr>
        <w:t>this paper</w:t>
      </w:r>
      <w:r w:rsidRPr="00555E09">
        <w:rPr>
          <w:rFonts w:ascii="Times New Roman" w:hAnsi="Times New Roman" w:cs="Times New Roman"/>
        </w:rPr>
        <w:t xml:space="preserve"> estimate</w:t>
      </w:r>
      <w:r w:rsidR="001026B7">
        <w:rPr>
          <w:rFonts w:ascii="Times New Roman" w:hAnsi="Times New Roman" w:cs="Times New Roman"/>
        </w:rPr>
        <w:t>s</w:t>
      </w:r>
      <w:r w:rsidRPr="00555E09">
        <w:rPr>
          <w:rFonts w:ascii="Times New Roman" w:hAnsi="Times New Roman" w:cs="Times New Roman"/>
        </w:rPr>
        <w:t xml:space="preserve"> the effects of increased, </w:t>
      </w:r>
      <w:r w:rsidR="003E6AEC">
        <w:rPr>
          <w:rFonts w:ascii="Times New Roman" w:hAnsi="Times New Roman" w:cs="Times New Roman"/>
        </w:rPr>
        <w:t>earmarked property taxes</w:t>
      </w:r>
      <w:r w:rsidRPr="00555E09">
        <w:rPr>
          <w:rFonts w:ascii="Times New Roman" w:hAnsi="Times New Roman" w:cs="Times New Roman"/>
        </w:rPr>
        <w:t xml:space="preserve"> for special education on </w:t>
      </w:r>
      <w:r w:rsidR="003E6AEC">
        <w:rPr>
          <w:rFonts w:ascii="Times New Roman" w:hAnsi="Times New Roman" w:cs="Times New Roman"/>
        </w:rPr>
        <w:t>local</w:t>
      </w:r>
      <w:r w:rsidRPr="00555E09">
        <w:rPr>
          <w:rFonts w:ascii="Times New Roman" w:hAnsi="Times New Roman" w:cs="Times New Roman"/>
        </w:rPr>
        <w:t xml:space="preserve"> spending. </w:t>
      </w:r>
      <w:r w:rsidR="003E6AEC">
        <w:rPr>
          <w:rFonts w:ascii="Times New Roman" w:hAnsi="Times New Roman" w:cs="Times New Roman"/>
        </w:rPr>
        <w:t xml:space="preserve">In addition to property taxes for general education, Michigan school districts also levy earmarked property taxes for special education and career and technical education. </w:t>
      </w:r>
      <w:r w:rsidR="004E38E9">
        <w:rPr>
          <w:rFonts w:ascii="Times New Roman" w:hAnsi="Times New Roman" w:cs="Times New Roman"/>
        </w:rPr>
        <w:t xml:space="preserve">Revenues from these additional taxes are highly restricted, and they can only be spent for the educational function for which they were approved. </w:t>
      </w:r>
      <w:r w:rsidRPr="00555E09">
        <w:rPr>
          <w:rFonts w:ascii="Times New Roman" w:hAnsi="Times New Roman" w:cs="Times New Roman"/>
        </w:rPr>
        <w:t xml:space="preserve">Moreover, when voters approve new property taxes, school districts receive sudden, large increases in local revenues for special education. I argue that the timing of these property tax changes provides plausibly exogenous year-over-year increases in </w:t>
      </w:r>
      <w:r w:rsidR="004E38E9">
        <w:rPr>
          <w:rFonts w:ascii="Times New Roman" w:hAnsi="Times New Roman" w:cs="Times New Roman"/>
        </w:rPr>
        <w:t>conditional aid</w:t>
      </w:r>
      <w:r w:rsidRPr="00555E09">
        <w:rPr>
          <w:rFonts w:ascii="Times New Roman" w:hAnsi="Times New Roman" w:cs="Times New Roman"/>
        </w:rPr>
        <w:t xml:space="preserve"> for special education. </w:t>
      </w:r>
    </w:p>
    <w:p w14:paraId="722FD886" w14:textId="586F0B5C" w:rsidR="005F16EE" w:rsidRDefault="005F16EE" w:rsidP="005F16EE">
      <w:pPr>
        <w:spacing w:after="0" w:line="480" w:lineRule="auto"/>
        <w:ind w:firstLine="720"/>
        <w:rPr>
          <w:rFonts w:ascii="Times New Roman" w:hAnsi="Times New Roman" w:cs="Times New Roman"/>
        </w:rPr>
      </w:pPr>
      <w:r w:rsidRPr="00555E09">
        <w:rPr>
          <w:rFonts w:ascii="Times New Roman" w:hAnsi="Times New Roman" w:cs="Times New Roman"/>
        </w:rPr>
        <w:t xml:space="preserve">I find that the adoption of new </w:t>
      </w:r>
      <w:r>
        <w:rPr>
          <w:rFonts w:ascii="Times New Roman" w:hAnsi="Times New Roman" w:cs="Times New Roman"/>
        </w:rPr>
        <w:t xml:space="preserve">special education </w:t>
      </w:r>
      <w:r w:rsidRPr="00555E09">
        <w:rPr>
          <w:rFonts w:ascii="Times New Roman" w:hAnsi="Times New Roman" w:cs="Times New Roman"/>
        </w:rPr>
        <w:t>property taxes leads to between a $</w:t>
      </w:r>
      <w:r>
        <w:rPr>
          <w:rFonts w:ascii="Times New Roman" w:hAnsi="Times New Roman" w:cs="Times New Roman"/>
        </w:rPr>
        <w:t>3</w:t>
      </w:r>
      <w:r w:rsidRPr="00555E09">
        <w:rPr>
          <w:rFonts w:ascii="Times New Roman" w:hAnsi="Times New Roman" w:cs="Times New Roman"/>
        </w:rPr>
        <w:t>00 and $</w:t>
      </w:r>
      <w:r>
        <w:rPr>
          <w:rFonts w:ascii="Times New Roman" w:hAnsi="Times New Roman" w:cs="Times New Roman"/>
        </w:rPr>
        <w:t>4</w:t>
      </w:r>
      <w:r w:rsidRPr="00555E09">
        <w:rPr>
          <w:rFonts w:ascii="Times New Roman" w:hAnsi="Times New Roman" w:cs="Times New Roman"/>
        </w:rPr>
        <w:t>00 increase in</w:t>
      </w:r>
      <w:r>
        <w:rPr>
          <w:rFonts w:ascii="Times New Roman" w:hAnsi="Times New Roman" w:cs="Times New Roman"/>
        </w:rPr>
        <w:t xml:space="preserve"> conditional</w:t>
      </w:r>
      <w:r w:rsidRPr="00555E09">
        <w:rPr>
          <w:rFonts w:ascii="Times New Roman" w:hAnsi="Times New Roman" w:cs="Times New Roman"/>
        </w:rPr>
        <w:t xml:space="preserve"> per-pupil revenue. </w:t>
      </w:r>
      <w:r>
        <w:rPr>
          <w:rFonts w:ascii="Times New Roman" w:hAnsi="Times New Roman" w:cs="Times New Roman"/>
        </w:rPr>
        <w:t>Following this increase, ISDs increase special education spending by a smaller $124 to $172, and they transfer the remainder of the revenue increase to local school districts. Notably, estimates of the change in total special education spending are not robust, although this is driven by offsetting increases in special education salaries and decreases in purchased services and supplies in treated ISDs.</w:t>
      </w:r>
    </w:p>
    <w:p w14:paraId="1C665DAA" w14:textId="3182B950" w:rsidR="0022579B" w:rsidRDefault="005F16EE" w:rsidP="005F16EE">
      <w:pPr>
        <w:spacing w:after="0" w:line="480" w:lineRule="auto"/>
        <w:ind w:firstLine="720"/>
        <w:rPr>
          <w:rFonts w:ascii="Times New Roman" w:hAnsi="Times New Roman" w:cs="Times New Roman"/>
        </w:rPr>
      </w:pPr>
      <w:r>
        <w:rPr>
          <w:rFonts w:ascii="Times New Roman" w:hAnsi="Times New Roman" w:cs="Times New Roman"/>
        </w:rPr>
        <w:t xml:space="preserve">Following the transfer of special education revenues to local school districts, I find that local school districts increase non-special education salaries, decrease expenditures for purchased services, and increase transfers back to ISDs. This suggests that like other conditional grants, earmarked property taxes may “leak” to other education purposes, although they do increase spending for their intended function substantially. This suggests that school districts </w:t>
      </w:r>
      <w:r>
        <w:rPr>
          <w:rFonts w:ascii="Times New Roman" w:hAnsi="Times New Roman" w:cs="Times New Roman"/>
        </w:rPr>
        <w:lastRenderedPageBreak/>
        <w:t>treat conditional revenue increases as fungible</w:t>
      </w:r>
      <w:r w:rsidR="00397F9A">
        <w:rPr>
          <w:rFonts w:ascii="Times New Roman" w:hAnsi="Times New Roman" w:cs="Times New Roman"/>
        </w:rPr>
        <w:t xml:space="preserve"> </w:t>
      </w:r>
      <w:r>
        <w:rPr>
          <w:rFonts w:ascii="Times New Roman" w:hAnsi="Times New Roman" w:cs="Times New Roman"/>
        </w:rPr>
        <w:t>even when</w:t>
      </w:r>
      <w:r w:rsidR="00397F9A">
        <w:rPr>
          <w:rFonts w:ascii="Times New Roman" w:hAnsi="Times New Roman" w:cs="Times New Roman"/>
        </w:rPr>
        <w:t xml:space="preserve"> conditional grants are generated by voters themselves and have exceptionally high accounting oversight.</w:t>
      </w:r>
    </w:p>
    <w:p w14:paraId="50B022EB" w14:textId="77777777" w:rsidR="001B279C" w:rsidRDefault="009178AB" w:rsidP="001B279C">
      <w:pPr>
        <w:spacing w:after="0" w:line="480" w:lineRule="auto"/>
        <w:ind w:firstLine="720"/>
        <w:rPr>
          <w:rFonts w:ascii="Times New Roman" w:hAnsi="Times New Roman" w:cs="Times New Roman"/>
        </w:rPr>
      </w:pPr>
      <w:r>
        <w:rPr>
          <w:rFonts w:ascii="Times New Roman" w:hAnsi="Times New Roman" w:cs="Times New Roman"/>
        </w:rPr>
        <w:t xml:space="preserve">Michigan’s unique structure of special education finance provides an ideal context in which to study the effects of earmarked property taxes. In addition to property taxes for general education funding, Michigan Intermediate School Districts (ISDs) also levy property taxes for specific educational functions including special education and career and technical education. Like other taxes, these earmarked education taxes must be renewed by voters when they expire, and they are labelled with their specific educational functions in the text of the ballot initiative. </w:t>
      </w:r>
    </w:p>
    <w:p w14:paraId="3B734C49" w14:textId="46D4ED48" w:rsidR="00ED29F2" w:rsidRDefault="00ED29F2" w:rsidP="00555E09">
      <w:pPr>
        <w:spacing w:after="0" w:line="480" w:lineRule="auto"/>
        <w:ind w:firstLine="720"/>
        <w:rPr>
          <w:rFonts w:ascii="Times New Roman" w:hAnsi="Times New Roman" w:cs="Times New Roman"/>
        </w:rPr>
      </w:pPr>
      <w:r>
        <w:rPr>
          <w:rFonts w:ascii="Times New Roman" w:hAnsi="Times New Roman" w:cs="Times New Roman"/>
        </w:rPr>
        <w:t xml:space="preserve">To understand the effects of special education property tax adoption on </w:t>
      </w:r>
      <w:r w:rsidR="004E38E9">
        <w:rPr>
          <w:rFonts w:ascii="Times New Roman" w:hAnsi="Times New Roman" w:cs="Times New Roman"/>
        </w:rPr>
        <w:t>local</w:t>
      </w:r>
      <w:r>
        <w:rPr>
          <w:rFonts w:ascii="Times New Roman" w:hAnsi="Times New Roman" w:cs="Times New Roman"/>
        </w:rPr>
        <w:t xml:space="preserve"> finances, I estimate staggered two</w:t>
      </w:r>
      <w:r w:rsidR="00A96472">
        <w:rPr>
          <w:rFonts w:ascii="Times New Roman" w:hAnsi="Times New Roman" w:cs="Times New Roman"/>
        </w:rPr>
        <w:t>-</w:t>
      </w:r>
      <w:r>
        <w:rPr>
          <w:rFonts w:ascii="Times New Roman" w:hAnsi="Times New Roman" w:cs="Times New Roman"/>
        </w:rPr>
        <w:t xml:space="preserve">way fixed effects (TWFE) models using a continuous treatment. Drawing on Wooldridge (2025) and Callaway </w:t>
      </w:r>
      <w:r w:rsidR="004C0096">
        <w:rPr>
          <w:rFonts w:ascii="Times New Roman" w:hAnsi="Times New Roman" w:cs="Times New Roman"/>
        </w:rPr>
        <w:t>et al.</w:t>
      </w:r>
      <w:r>
        <w:rPr>
          <w:rFonts w:ascii="Times New Roman" w:hAnsi="Times New Roman" w:cs="Times New Roman"/>
        </w:rPr>
        <w:t xml:space="preserve"> (2024), I estimate an extended TWFE </w:t>
      </w:r>
      <w:r w:rsidR="004E38E9">
        <w:rPr>
          <w:rFonts w:ascii="Times New Roman" w:hAnsi="Times New Roman" w:cs="Times New Roman"/>
        </w:rPr>
        <w:t xml:space="preserve">model </w:t>
      </w:r>
      <w:r>
        <w:rPr>
          <w:rFonts w:ascii="Times New Roman" w:hAnsi="Times New Roman" w:cs="Times New Roman"/>
        </w:rPr>
        <w:t xml:space="preserve">with linear and quadratic functional forms of the continuous treatment, and I use </w:t>
      </w:r>
      <w:r w:rsidR="004E38E9">
        <w:rPr>
          <w:rFonts w:ascii="Times New Roman" w:hAnsi="Times New Roman" w:cs="Times New Roman"/>
        </w:rPr>
        <w:t>these to</w:t>
      </w:r>
      <w:r>
        <w:rPr>
          <w:rFonts w:ascii="Times New Roman" w:hAnsi="Times New Roman" w:cs="Times New Roman"/>
        </w:rPr>
        <w:t xml:space="preserve"> determine the effect of increased property taxes on special education revenues, special education expenditures, and expenditures for non-special education purposes.</w:t>
      </w:r>
    </w:p>
    <w:p w14:paraId="13C1FC2E" w14:textId="368F6F4B" w:rsidR="00CE6ECB" w:rsidRDefault="00CE6ECB" w:rsidP="00CE6ECB">
      <w:pPr>
        <w:spacing w:after="0" w:line="480" w:lineRule="auto"/>
        <w:ind w:firstLine="720"/>
        <w:rPr>
          <w:rFonts w:ascii="Times New Roman" w:hAnsi="Times New Roman" w:cs="Times New Roman"/>
        </w:rPr>
      </w:pPr>
      <w:r>
        <w:rPr>
          <w:rFonts w:ascii="Times New Roman" w:hAnsi="Times New Roman" w:cs="Times New Roman"/>
        </w:rPr>
        <w:t>This paper proceeds as follows. Section II describes research on intergovernmental grants and conditional grants in aid, Section III describes the context of Michigan special education finance, Section IV presents the theory of categorical grants for school districts, Section V describes the local property tax data, Section VI describes the extended TWFE method with continuous treatment, Section VII presents results and robustness checks, and Section VIII concludes.</w:t>
      </w:r>
    </w:p>
    <w:p w14:paraId="641455D4" w14:textId="2E25975C" w:rsidR="00CE6ECB" w:rsidRPr="00CE6ECB" w:rsidRDefault="00CE6ECB" w:rsidP="00CE6ECB">
      <w:pPr>
        <w:spacing w:after="0" w:line="480" w:lineRule="auto"/>
        <w:rPr>
          <w:rFonts w:ascii="Times New Roman" w:hAnsi="Times New Roman" w:cs="Times New Roman"/>
          <w:b/>
          <w:bCs/>
        </w:rPr>
      </w:pPr>
      <w:r w:rsidRPr="00CE6ECB">
        <w:rPr>
          <w:rFonts w:ascii="Times New Roman" w:hAnsi="Times New Roman" w:cs="Times New Roman"/>
          <w:b/>
          <w:bCs/>
        </w:rPr>
        <w:t>Intergovernmental Grants and Conditional Grants</w:t>
      </w:r>
    </w:p>
    <w:p w14:paraId="10A3B87F" w14:textId="77777777" w:rsidR="00CE6ECB" w:rsidRDefault="00BF1F95" w:rsidP="00555E09">
      <w:pPr>
        <w:spacing w:after="0" w:line="480" w:lineRule="auto"/>
        <w:ind w:firstLine="720"/>
        <w:rPr>
          <w:rFonts w:ascii="Times New Roman" w:hAnsi="Times New Roman" w:cs="Times New Roman"/>
        </w:rPr>
      </w:pPr>
      <w:r>
        <w:rPr>
          <w:rFonts w:ascii="Times New Roman" w:hAnsi="Times New Roman" w:cs="Times New Roman"/>
        </w:rPr>
        <w:t>Substantial research has investigated the effects of intergovernmental grants to state and local governments (Hines &amp; Thaler, 1995).</w:t>
      </w:r>
      <w:r w:rsidR="0037483B">
        <w:rPr>
          <w:rFonts w:ascii="Times New Roman" w:hAnsi="Times New Roman" w:cs="Times New Roman"/>
        </w:rPr>
        <w:t xml:space="preserve"> Bradford &amp; Oates (1971a, b) predict that increases in </w:t>
      </w:r>
      <w:r w:rsidR="0037483B">
        <w:rPr>
          <w:rFonts w:ascii="Times New Roman" w:hAnsi="Times New Roman" w:cs="Times New Roman"/>
        </w:rPr>
        <w:lastRenderedPageBreak/>
        <w:t xml:space="preserve">government grants would crowd out state and local spending, and as a result, grants would be ineffective to increase public expenditures. Early research contradicted this result and suggested that grants increased public expenditures by a range of 25 cents per dollar of grant funding up to a $1 increase in per dollar of grant funding (Inman, 1971; Gramlich &amp; Galper, 1973; Hines &amp; Thaler, 1995). </w:t>
      </w:r>
    </w:p>
    <w:p w14:paraId="30CD187E" w14:textId="3E8795FA" w:rsidR="0037483B" w:rsidRDefault="0037483B" w:rsidP="00555E09">
      <w:pPr>
        <w:spacing w:after="0" w:line="480" w:lineRule="auto"/>
        <w:ind w:firstLine="720"/>
        <w:rPr>
          <w:rFonts w:ascii="Times New Roman" w:hAnsi="Times New Roman" w:cs="Times New Roman"/>
        </w:rPr>
      </w:pPr>
      <w:r>
        <w:rPr>
          <w:rFonts w:ascii="Times New Roman" w:hAnsi="Times New Roman" w:cs="Times New Roman"/>
        </w:rPr>
        <w:t xml:space="preserve">This so-called “flypaper effect” represents an empirical puzzle. While additional resources from grant aid should be equivalent to increased income for the median voter, resources in the form of grant aid have different effects on consumption. </w:t>
      </w:r>
      <w:r w:rsidR="00CE6ECB">
        <w:rPr>
          <w:rFonts w:ascii="Times New Roman" w:hAnsi="Times New Roman" w:cs="Times New Roman"/>
        </w:rPr>
        <w:t xml:space="preserve">Bradford &amp; Oates (1971b) describe this in detail, and they demonstrate that </w:t>
      </w:r>
      <w:r w:rsidR="00974CAB">
        <w:rPr>
          <w:rFonts w:ascii="Times New Roman" w:hAnsi="Times New Roman" w:cs="Times New Roman"/>
        </w:rPr>
        <w:t xml:space="preserve">an unrestricted intergovernmental grant is theoretically equivalent to providing </w:t>
      </w:r>
      <w:r w:rsidR="003D56F3">
        <w:rPr>
          <w:rFonts w:ascii="Times New Roman" w:hAnsi="Times New Roman" w:cs="Times New Roman"/>
        </w:rPr>
        <w:t>the median</w:t>
      </w:r>
      <w:r w:rsidR="00974CAB">
        <w:rPr>
          <w:rFonts w:ascii="Times New Roman" w:hAnsi="Times New Roman" w:cs="Times New Roman"/>
        </w:rPr>
        <w:t xml:space="preserve"> voter with a lump sum grant equal to the total grant multiplied by their local tax share.</w:t>
      </w:r>
      <w:r w:rsidR="003D56F3">
        <w:rPr>
          <w:rFonts w:ascii="Times New Roman" w:hAnsi="Times New Roman" w:cs="Times New Roman"/>
        </w:rPr>
        <w:t xml:space="preserve"> As a result, the net effect of the tax change should be equivalent to increasing the median voter’s income by the amount of the grant, and the original local budget would be assumed to be the preferred allocation to public spending (Hines &amp; Thaler, 1995).</w:t>
      </w:r>
    </w:p>
    <w:p w14:paraId="74389317" w14:textId="4A757A1A" w:rsidR="00BF1F95" w:rsidRDefault="0037483B" w:rsidP="00555E09">
      <w:pPr>
        <w:spacing w:after="0" w:line="480" w:lineRule="auto"/>
        <w:ind w:firstLine="720"/>
        <w:rPr>
          <w:rFonts w:ascii="Times New Roman" w:hAnsi="Times New Roman" w:cs="Times New Roman"/>
        </w:rPr>
      </w:pPr>
      <w:r>
        <w:rPr>
          <w:rFonts w:ascii="Times New Roman" w:hAnsi="Times New Roman" w:cs="Times New Roman"/>
        </w:rPr>
        <w:t xml:space="preserve">While early research struggled to explain the flypaper effect, more recent research finds that after accounting for endogeneity, the spending following the receipt of a grant is much more aligned with the median voter theory (Knight, 2001). </w:t>
      </w:r>
      <w:r w:rsidR="00CD6D65">
        <w:rPr>
          <w:rFonts w:ascii="Times New Roman" w:hAnsi="Times New Roman" w:cs="Times New Roman"/>
        </w:rPr>
        <w:t xml:space="preserve">Further, Singhal (2008) provides evidence that the flypaper effect may be induced by dynamic interactions between politicians and interest groups, and Dahlby (2010) demonstrates that the flypaper effect may be observed in settings with distortionary taxes as well. </w:t>
      </w:r>
      <w:r w:rsidR="009F78BE">
        <w:rPr>
          <w:rFonts w:ascii="Times New Roman" w:hAnsi="Times New Roman" w:cs="Times New Roman"/>
        </w:rPr>
        <w:t>This research</w:t>
      </w:r>
      <w:r w:rsidR="00CD6D65">
        <w:rPr>
          <w:rFonts w:ascii="Times New Roman" w:hAnsi="Times New Roman" w:cs="Times New Roman"/>
        </w:rPr>
        <w:t xml:space="preserve"> suggest</w:t>
      </w:r>
      <w:r w:rsidR="009F78BE">
        <w:rPr>
          <w:rFonts w:ascii="Times New Roman" w:hAnsi="Times New Roman" w:cs="Times New Roman"/>
        </w:rPr>
        <w:t>s</w:t>
      </w:r>
      <w:r w:rsidR="00CD6D65">
        <w:rPr>
          <w:rFonts w:ascii="Times New Roman" w:hAnsi="Times New Roman" w:cs="Times New Roman"/>
        </w:rPr>
        <w:t xml:space="preserve"> that increases in government spending may not be violations of the median voter theory, but rather the result of additional contextual factors that limit the ability of governments to treat revenues as fungible.</w:t>
      </w:r>
      <w:r w:rsidR="00CD6D65">
        <w:rPr>
          <w:rStyle w:val="FootnoteReference"/>
          <w:rFonts w:ascii="Times New Roman" w:hAnsi="Times New Roman" w:cs="Times New Roman"/>
        </w:rPr>
        <w:footnoteReference w:id="2"/>
      </w:r>
    </w:p>
    <w:p w14:paraId="79A4F7F8" w14:textId="7B423525" w:rsidR="00B606BE" w:rsidRDefault="00CD6D65" w:rsidP="00C375A8">
      <w:pPr>
        <w:spacing w:after="0" w:line="480" w:lineRule="auto"/>
        <w:ind w:firstLine="720"/>
        <w:rPr>
          <w:rFonts w:ascii="Times New Roman" w:hAnsi="Times New Roman" w:cs="Times New Roman"/>
        </w:rPr>
      </w:pPr>
      <w:r>
        <w:rPr>
          <w:rFonts w:ascii="Times New Roman" w:hAnsi="Times New Roman" w:cs="Times New Roman"/>
        </w:rPr>
        <w:lastRenderedPageBreak/>
        <w:t xml:space="preserve">In addition to research on intergovernmental transfers generally, research has </w:t>
      </w:r>
      <w:r w:rsidR="00C375A8">
        <w:rPr>
          <w:rFonts w:ascii="Times New Roman" w:hAnsi="Times New Roman" w:cs="Times New Roman"/>
        </w:rPr>
        <w:t xml:space="preserve">also </w:t>
      </w:r>
      <w:r>
        <w:rPr>
          <w:rFonts w:ascii="Times New Roman" w:hAnsi="Times New Roman" w:cs="Times New Roman"/>
        </w:rPr>
        <w:t>explored how school districts respond to grant funding as well (Fisher &amp; Papke, 2000).</w:t>
      </w:r>
      <w:r w:rsidR="00C375A8">
        <w:rPr>
          <w:rFonts w:ascii="Times New Roman" w:hAnsi="Times New Roman" w:cs="Times New Roman"/>
        </w:rPr>
        <w:t xml:space="preserve"> For example, Duncombe &amp; Yinger (1998) find that a $1 increase in state aid is associated with a $0.33 increase in school spending. This is greater than the predicted increase associated with a $1 increase in average income in a school district, but still less than the full amount of the grant.</w:t>
      </w:r>
      <w:r w:rsidR="00C375A8">
        <w:rPr>
          <w:rStyle w:val="FootnoteReference"/>
          <w:rFonts w:ascii="Times New Roman" w:hAnsi="Times New Roman" w:cs="Times New Roman"/>
        </w:rPr>
        <w:footnoteReference w:id="3"/>
      </w:r>
      <w:r w:rsidR="00C375A8">
        <w:rPr>
          <w:rFonts w:ascii="Times New Roman" w:hAnsi="Times New Roman" w:cs="Times New Roman"/>
        </w:rPr>
        <w:t xml:space="preserve"> </w:t>
      </w:r>
      <w:r w:rsidR="003D56F3">
        <w:rPr>
          <w:rFonts w:ascii="Times New Roman" w:hAnsi="Times New Roman" w:cs="Times New Roman"/>
        </w:rPr>
        <w:t xml:space="preserve">Similarly, Dee &amp; Levine (2004) find that increases in state aid in Massachusetts following a 1993 school finance reform induced increases in total per pupil revenues, although increases were attenuated by decreased local tax effort. </w:t>
      </w:r>
      <w:r w:rsidR="00C375A8">
        <w:rPr>
          <w:rFonts w:ascii="Times New Roman" w:hAnsi="Times New Roman" w:cs="Times New Roman"/>
        </w:rPr>
        <w:t>Casc</w:t>
      </w:r>
      <w:r w:rsidR="006F034E">
        <w:rPr>
          <w:rFonts w:ascii="Times New Roman" w:hAnsi="Times New Roman" w:cs="Times New Roman"/>
        </w:rPr>
        <w:t>i</w:t>
      </w:r>
      <w:r w:rsidR="00C375A8">
        <w:rPr>
          <w:rFonts w:ascii="Times New Roman" w:hAnsi="Times New Roman" w:cs="Times New Roman"/>
        </w:rPr>
        <w:t>o et al</w:t>
      </w:r>
      <w:r w:rsidR="00A22350">
        <w:rPr>
          <w:rFonts w:ascii="Times New Roman" w:hAnsi="Times New Roman" w:cs="Times New Roman"/>
        </w:rPr>
        <w:t>.</w:t>
      </w:r>
      <w:r w:rsidR="00C375A8">
        <w:rPr>
          <w:rFonts w:ascii="Times New Roman" w:hAnsi="Times New Roman" w:cs="Times New Roman"/>
        </w:rPr>
        <w:t xml:space="preserve"> (2013) </w:t>
      </w:r>
      <w:r w:rsidR="003D56F3">
        <w:rPr>
          <w:rFonts w:ascii="Times New Roman" w:hAnsi="Times New Roman" w:cs="Times New Roman"/>
        </w:rPr>
        <w:t xml:space="preserve">also </w:t>
      </w:r>
      <w:r w:rsidR="00C375A8">
        <w:rPr>
          <w:rFonts w:ascii="Times New Roman" w:hAnsi="Times New Roman" w:cs="Times New Roman"/>
        </w:rPr>
        <w:t>find that an increase in federal grant aid to school districts induced a $0.50 dollar increase per dollar of aid to southern school districts in the 1960s.</w:t>
      </w:r>
      <w:r w:rsidR="00A715AE">
        <w:rPr>
          <w:rFonts w:ascii="Times New Roman" w:hAnsi="Times New Roman" w:cs="Times New Roman"/>
        </w:rPr>
        <w:t xml:space="preserve"> Like grants to local governments, this research in this area suggests that “general unrestricted state grants for education increase local spending, but not dollar-for-dollar,” (Fisher &amp; Papke, 2000; p. 160).</w:t>
      </w:r>
    </w:p>
    <w:p w14:paraId="780E7AB9" w14:textId="3BB9115E" w:rsidR="00C375A8" w:rsidRDefault="009F78BE" w:rsidP="00C375A8">
      <w:pPr>
        <w:spacing w:after="0" w:line="480" w:lineRule="auto"/>
        <w:ind w:firstLine="720"/>
        <w:rPr>
          <w:rFonts w:ascii="Times New Roman" w:hAnsi="Times New Roman" w:cs="Times New Roman"/>
        </w:rPr>
      </w:pPr>
      <w:r>
        <w:rPr>
          <w:rFonts w:ascii="Times New Roman" w:hAnsi="Times New Roman" w:cs="Times New Roman"/>
        </w:rPr>
        <w:t>Beyond</w:t>
      </w:r>
      <w:r w:rsidR="00C375A8">
        <w:rPr>
          <w:rFonts w:ascii="Times New Roman" w:hAnsi="Times New Roman" w:cs="Times New Roman"/>
        </w:rPr>
        <w:t xml:space="preserve"> </w:t>
      </w:r>
      <w:r>
        <w:rPr>
          <w:rFonts w:ascii="Times New Roman" w:hAnsi="Times New Roman" w:cs="Times New Roman"/>
        </w:rPr>
        <w:t>unconditional grants</w:t>
      </w:r>
      <w:r w:rsidR="00C375A8">
        <w:rPr>
          <w:rFonts w:ascii="Times New Roman" w:hAnsi="Times New Roman" w:cs="Times New Roman"/>
        </w:rPr>
        <w:t xml:space="preserve"> in education, </w:t>
      </w:r>
      <w:r w:rsidR="00C874A3">
        <w:rPr>
          <w:rFonts w:ascii="Times New Roman" w:hAnsi="Times New Roman" w:cs="Times New Roman"/>
        </w:rPr>
        <w:t>some studies have also explored the effects of conditional grants to school districts. In Michigan, Addonizio (1997) finds that increased state funding for economically disadvantaged students increased school spending for those students by $0.61 per dollar of grant funding, and the remaining expenditures “leaked” to other general fund expenditures.</w:t>
      </w:r>
      <w:r w:rsidR="00C874A3">
        <w:rPr>
          <w:rStyle w:val="FootnoteReference"/>
          <w:rFonts w:ascii="Times New Roman" w:hAnsi="Times New Roman" w:cs="Times New Roman"/>
        </w:rPr>
        <w:footnoteReference w:id="4"/>
      </w:r>
      <w:r w:rsidR="00C874A3">
        <w:rPr>
          <w:rFonts w:ascii="Times New Roman" w:hAnsi="Times New Roman" w:cs="Times New Roman"/>
        </w:rPr>
        <w:t xml:space="preserve"> Dye &amp; McGuire (1997) similar</w:t>
      </w:r>
      <w:r w:rsidR="00A715AE">
        <w:rPr>
          <w:rFonts w:ascii="Times New Roman" w:hAnsi="Times New Roman" w:cs="Times New Roman"/>
        </w:rPr>
        <w:t xml:space="preserve">ly find evidence of revenue fungibility in response to property tax caps </w:t>
      </w:r>
      <w:r w:rsidR="00C874A3">
        <w:rPr>
          <w:rFonts w:ascii="Times New Roman" w:hAnsi="Times New Roman" w:cs="Times New Roman"/>
        </w:rPr>
        <w:t xml:space="preserve">results in the Chicago area as well. Fisher &amp; Papke (2000) conclude that while there is </w:t>
      </w:r>
      <w:r w:rsidR="00A715AE">
        <w:rPr>
          <w:rFonts w:ascii="Times New Roman" w:hAnsi="Times New Roman" w:cs="Times New Roman"/>
        </w:rPr>
        <w:t xml:space="preserve">relatively less </w:t>
      </w:r>
      <w:r w:rsidR="00C874A3">
        <w:rPr>
          <w:rFonts w:ascii="Times New Roman" w:hAnsi="Times New Roman" w:cs="Times New Roman"/>
        </w:rPr>
        <w:t xml:space="preserve">research related to </w:t>
      </w:r>
      <w:r w:rsidR="009F0089">
        <w:rPr>
          <w:rFonts w:ascii="Times New Roman" w:hAnsi="Times New Roman" w:cs="Times New Roman"/>
        </w:rPr>
        <w:t>conditional</w:t>
      </w:r>
      <w:r w:rsidR="00C874A3">
        <w:rPr>
          <w:rFonts w:ascii="Times New Roman" w:hAnsi="Times New Roman" w:cs="Times New Roman"/>
        </w:rPr>
        <w:t xml:space="preserve"> grants in education, the limited evidence suggests that they are</w:t>
      </w:r>
      <w:r w:rsidR="00B0565A">
        <w:rPr>
          <w:rFonts w:ascii="Times New Roman" w:hAnsi="Times New Roman" w:cs="Times New Roman"/>
        </w:rPr>
        <w:t xml:space="preserve"> </w:t>
      </w:r>
      <w:r w:rsidR="00C874A3">
        <w:rPr>
          <w:rFonts w:ascii="Times New Roman" w:hAnsi="Times New Roman" w:cs="Times New Roman"/>
        </w:rPr>
        <w:t>effective for increasing spending for their intended purposes</w:t>
      </w:r>
      <w:r w:rsidR="00E35617">
        <w:rPr>
          <w:rFonts w:ascii="Times New Roman" w:hAnsi="Times New Roman" w:cs="Times New Roman"/>
        </w:rPr>
        <w:t>.</w:t>
      </w:r>
    </w:p>
    <w:p w14:paraId="5CA0106A" w14:textId="37801EE2" w:rsidR="00E35617" w:rsidRDefault="00E35617" w:rsidP="00C375A8">
      <w:pPr>
        <w:spacing w:after="0" w:line="480" w:lineRule="auto"/>
        <w:ind w:firstLine="720"/>
        <w:rPr>
          <w:rFonts w:ascii="Times New Roman" w:hAnsi="Times New Roman" w:cs="Times New Roman"/>
        </w:rPr>
      </w:pPr>
      <w:r>
        <w:rPr>
          <w:rFonts w:ascii="Times New Roman" w:hAnsi="Times New Roman" w:cs="Times New Roman"/>
        </w:rPr>
        <w:lastRenderedPageBreak/>
        <w:t xml:space="preserve">In this paper, I explore a property tax change that is most </w:t>
      </w:r>
      <w:proofErr w:type="gramStart"/>
      <w:r>
        <w:rPr>
          <w:rFonts w:ascii="Times New Roman" w:hAnsi="Times New Roman" w:cs="Times New Roman"/>
        </w:rPr>
        <w:t>similar to</w:t>
      </w:r>
      <w:proofErr w:type="gramEnd"/>
      <w:r>
        <w:rPr>
          <w:rFonts w:ascii="Times New Roman" w:hAnsi="Times New Roman" w:cs="Times New Roman"/>
        </w:rPr>
        <w:t xml:space="preserve"> a restricted categorical grant. In Michigan, property taxes for special education must only be spent on special education functions, and these expenditures are subject to rigorous audits by the State. In contrast to prior research, this type of funding is more </w:t>
      </w:r>
      <w:proofErr w:type="gramStart"/>
      <w:r>
        <w:rPr>
          <w:rFonts w:ascii="Times New Roman" w:hAnsi="Times New Roman" w:cs="Times New Roman"/>
        </w:rPr>
        <w:t>similar to</w:t>
      </w:r>
      <w:proofErr w:type="gramEnd"/>
      <w:r>
        <w:rPr>
          <w:rFonts w:ascii="Times New Roman" w:hAnsi="Times New Roman" w:cs="Times New Roman"/>
        </w:rPr>
        <w:t xml:space="preserve"> a voucher. Following Bradford &amp; </w:t>
      </w:r>
      <w:proofErr w:type="spellStart"/>
      <w:r>
        <w:rPr>
          <w:rFonts w:ascii="Times New Roman" w:hAnsi="Times New Roman" w:cs="Times New Roman"/>
        </w:rPr>
        <w:t>Shaviro</w:t>
      </w:r>
      <w:proofErr w:type="spellEnd"/>
      <w:r>
        <w:rPr>
          <w:rFonts w:ascii="Times New Roman" w:hAnsi="Times New Roman" w:cs="Times New Roman"/>
        </w:rPr>
        <w:t xml:space="preserve"> (2000) and Shah (2006), I develop a simple theoretical model of these dynamics, and I </w:t>
      </w:r>
      <w:r w:rsidR="009F78BE">
        <w:rPr>
          <w:rFonts w:ascii="Times New Roman" w:hAnsi="Times New Roman" w:cs="Times New Roman"/>
        </w:rPr>
        <w:t>find</w:t>
      </w:r>
      <w:r>
        <w:rPr>
          <w:rFonts w:ascii="Times New Roman" w:hAnsi="Times New Roman" w:cs="Times New Roman"/>
        </w:rPr>
        <w:t xml:space="preserve"> that ISDs </w:t>
      </w:r>
      <w:r w:rsidR="009F78BE">
        <w:rPr>
          <w:rFonts w:ascii="Times New Roman" w:hAnsi="Times New Roman" w:cs="Times New Roman"/>
        </w:rPr>
        <w:t>adjust financial</w:t>
      </w:r>
      <w:r>
        <w:rPr>
          <w:rFonts w:ascii="Times New Roman" w:hAnsi="Times New Roman" w:cs="Times New Roman"/>
        </w:rPr>
        <w:t xml:space="preserve"> allocations to special education in alignment with </w:t>
      </w:r>
      <w:r w:rsidR="009F78BE">
        <w:rPr>
          <w:rFonts w:ascii="Times New Roman" w:hAnsi="Times New Roman" w:cs="Times New Roman"/>
        </w:rPr>
        <w:t>property tax conditions</w:t>
      </w:r>
      <w:r>
        <w:rPr>
          <w:rFonts w:ascii="Times New Roman" w:hAnsi="Times New Roman" w:cs="Times New Roman"/>
        </w:rPr>
        <w:t xml:space="preserve">. In addition, I find evidence of “leakage” </w:t>
      </w:r>
      <w:proofErr w:type="gramStart"/>
      <w:r>
        <w:rPr>
          <w:rFonts w:ascii="Times New Roman" w:hAnsi="Times New Roman" w:cs="Times New Roman"/>
        </w:rPr>
        <w:t>similar to</w:t>
      </w:r>
      <w:proofErr w:type="gramEnd"/>
      <w:r>
        <w:rPr>
          <w:rFonts w:ascii="Times New Roman" w:hAnsi="Times New Roman" w:cs="Times New Roman"/>
        </w:rPr>
        <w:t xml:space="preserve"> that described in Craig &amp; Inman (1982) at the school district-level as transfers of special education revenues to school districts translate into larger increases in non-special education spending.</w:t>
      </w:r>
      <w:r w:rsidR="009F78BE">
        <w:rPr>
          <w:rFonts w:ascii="Times New Roman" w:hAnsi="Times New Roman" w:cs="Times New Roman"/>
        </w:rPr>
        <w:t xml:space="preserve"> These “leaks” are largest among rural school districts that are likely to have lower capacity to provide special education services.</w:t>
      </w:r>
    </w:p>
    <w:p w14:paraId="5BAA60B6" w14:textId="5B934896" w:rsidR="004E38E9" w:rsidRDefault="004E38E9" w:rsidP="004E38E9">
      <w:pPr>
        <w:spacing w:after="0" w:line="480" w:lineRule="auto"/>
        <w:ind w:firstLine="720"/>
        <w:rPr>
          <w:rFonts w:ascii="Times New Roman" w:hAnsi="Times New Roman" w:cs="Times New Roman"/>
        </w:rPr>
      </w:pPr>
      <w:r>
        <w:rPr>
          <w:rFonts w:ascii="Times New Roman" w:hAnsi="Times New Roman" w:cs="Times New Roman"/>
        </w:rPr>
        <w:t>While Michigan is the only state that uses this structure of earmarked property taxes for special education, this research has applications to other areas of public finance as well. Earmarked property taxes are common in education, and almost all school districts use property taxes to fund capital expenditures (Biasi et al., 2024). Outside of education, earmarked property taxes for community mental health services have grown since the Covid-19 pandemic, and these property taxes similarly support specific local health services. Finally, a small amount of research has also explored local property taxes for local culture and arts, although these property taxes are far less common (Rushton, 200</w:t>
      </w:r>
      <w:r w:rsidR="00F40835">
        <w:rPr>
          <w:rFonts w:ascii="Times New Roman" w:hAnsi="Times New Roman" w:cs="Times New Roman"/>
        </w:rPr>
        <w:t>4, 2005</w:t>
      </w:r>
      <w:r>
        <w:rPr>
          <w:rFonts w:ascii="Times New Roman" w:hAnsi="Times New Roman" w:cs="Times New Roman"/>
        </w:rPr>
        <w:t>).</w:t>
      </w:r>
    </w:p>
    <w:p w14:paraId="69B9219B" w14:textId="5BE2389F" w:rsidR="00BB0D36" w:rsidRPr="00555E09" w:rsidRDefault="00B606BE" w:rsidP="00555E09">
      <w:pPr>
        <w:spacing w:after="0" w:line="480" w:lineRule="auto"/>
        <w:rPr>
          <w:rFonts w:ascii="Times New Roman" w:hAnsi="Times New Roman" w:cs="Times New Roman"/>
          <w:b/>
          <w:bCs/>
        </w:rPr>
      </w:pPr>
      <w:r>
        <w:rPr>
          <w:rFonts w:ascii="Times New Roman" w:hAnsi="Times New Roman" w:cs="Times New Roman"/>
          <w:b/>
          <w:bCs/>
        </w:rPr>
        <w:t>Michigan Education Finance</w:t>
      </w:r>
    </w:p>
    <w:p w14:paraId="35A747B2" w14:textId="53868DDF" w:rsidR="00D53F7A" w:rsidRDefault="00D53F7A" w:rsidP="00555E09">
      <w:pPr>
        <w:spacing w:after="0" w:line="480" w:lineRule="auto"/>
        <w:ind w:firstLine="720"/>
        <w:rPr>
          <w:rFonts w:ascii="Times New Roman" w:hAnsi="Times New Roman" w:cs="Times New Roman"/>
        </w:rPr>
      </w:pPr>
      <w:r>
        <w:rPr>
          <w:rFonts w:ascii="Times New Roman" w:hAnsi="Times New Roman" w:cs="Times New Roman"/>
        </w:rPr>
        <w:t>Unlike other states, Michigan school districts are primarily funded through state sources. As a result of the Proposal A ballot initiative in 1994, variable local property taxes for general education purposes were replaced by a uniform state</w:t>
      </w:r>
      <w:r w:rsidR="009F0089">
        <w:rPr>
          <w:rFonts w:ascii="Times New Roman" w:hAnsi="Times New Roman" w:cs="Times New Roman"/>
        </w:rPr>
        <w:t>wide</w:t>
      </w:r>
      <w:r>
        <w:rPr>
          <w:rFonts w:ascii="Times New Roman" w:hAnsi="Times New Roman" w:cs="Times New Roman"/>
        </w:rPr>
        <w:t xml:space="preserve"> property tax and statewide sales taxes (Cullen &amp; Loeb, 1999; Papke, 2005, 2008). This change limited the abilities of local school </w:t>
      </w:r>
      <w:r>
        <w:rPr>
          <w:rFonts w:ascii="Times New Roman" w:hAnsi="Times New Roman" w:cs="Times New Roman"/>
        </w:rPr>
        <w:lastRenderedPageBreak/>
        <w:t>districts to raise</w:t>
      </w:r>
      <w:r w:rsidR="009F0089">
        <w:rPr>
          <w:rFonts w:ascii="Times New Roman" w:hAnsi="Times New Roman" w:cs="Times New Roman"/>
        </w:rPr>
        <w:t xml:space="preserve"> general</w:t>
      </w:r>
      <w:r>
        <w:rPr>
          <w:rFonts w:ascii="Times New Roman" w:hAnsi="Times New Roman" w:cs="Times New Roman"/>
        </w:rPr>
        <w:t xml:space="preserve"> revenues for education, and this </w:t>
      </w:r>
      <w:r w:rsidR="009F0089">
        <w:rPr>
          <w:rFonts w:ascii="Times New Roman" w:hAnsi="Times New Roman" w:cs="Times New Roman"/>
        </w:rPr>
        <w:t>policy</w:t>
      </w:r>
      <w:r>
        <w:rPr>
          <w:rFonts w:ascii="Times New Roman" w:hAnsi="Times New Roman" w:cs="Times New Roman"/>
        </w:rPr>
        <w:t xml:space="preserve"> endeavored to equalize spending across high and low-income school districts (Addonizio</w:t>
      </w:r>
      <w:r w:rsidR="009F0089">
        <w:rPr>
          <w:rFonts w:ascii="Times New Roman" w:hAnsi="Times New Roman" w:cs="Times New Roman"/>
        </w:rPr>
        <w:t xml:space="preserve"> et al.</w:t>
      </w:r>
      <w:r>
        <w:rPr>
          <w:rFonts w:ascii="Times New Roman" w:hAnsi="Times New Roman" w:cs="Times New Roman"/>
        </w:rPr>
        <w:t>, 1995).</w:t>
      </w:r>
    </w:p>
    <w:p w14:paraId="0C7977D4" w14:textId="0C43E554" w:rsidR="009773C2" w:rsidRDefault="009773C2" w:rsidP="009773C2">
      <w:pPr>
        <w:spacing w:after="0" w:line="480" w:lineRule="auto"/>
        <w:jc w:val="center"/>
        <w:rPr>
          <w:rFonts w:ascii="Times New Roman" w:hAnsi="Times New Roman" w:cs="Times New Roman"/>
        </w:rPr>
      </w:pPr>
      <w:r>
        <w:rPr>
          <w:rFonts w:ascii="Times New Roman" w:hAnsi="Times New Roman" w:cs="Times New Roman"/>
        </w:rPr>
        <w:t>[Figure 1 about here]</w:t>
      </w:r>
    </w:p>
    <w:p w14:paraId="2AAD78D4" w14:textId="39BBA379" w:rsidR="002D0026" w:rsidRDefault="002D0026" w:rsidP="00555E09">
      <w:pPr>
        <w:spacing w:after="0" w:line="480" w:lineRule="auto"/>
        <w:ind w:firstLine="720"/>
        <w:rPr>
          <w:rFonts w:ascii="Times New Roman" w:hAnsi="Times New Roman" w:cs="Times New Roman"/>
        </w:rPr>
      </w:pPr>
      <w:r>
        <w:rPr>
          <w:rFonts w:ascii="Times New Roman" w:hAnsi="Times New Roman" w:cs="Times New Roman"/>
        </w:rPr>
        <w:t xml:space="preserve">Average per pupil revenues in Michigan school districts are presented in Panel A of Figure 1. This figure </w:t>
      </w:r>
      <w:r w:rsidR="009F0089">
        <w:rPr>
          <w:rFonts w:ascii="Times New Roman" w:hAnsi="Times New Roman" w:cs="Times New Roman"/>
        </w:rPr>
        <w:t>illustrates</w:t>
      </w:r>
      <w:r>
        <w:rPr>
          <w:rFonts w:ascii="Times New Roman" w:hAnsi="Times New Roman" w:cs="Times New Roman"/>
        </w:rPr>
        <w:t xml:space="preserve"> the average total state, local, and federal </w:t>
      </w:r>
      <w:r w:rsidR="009773C2">
        <w:rPr>
          <w:rFonts w:ascii="Times New Roman" w:hAnsi="Times New Roman" w:cs="Times New Roman"/>
        </w:rPr>
        <w:t xml:space="preserve">general education </w:t>
      </w:r>
      <w:r>
        <w:rPr>
          <w:rFonts w:ascii="Times New Roman" w:hAnsi="Times New Roman" w:cs="Times New Roman"/>
        </w:rPr>
        <w:t>revenues between the 1990-91 and 2024-25 academic years</w:t>
      </w:r>
      <w:r w:rsidR="009F0089">
        <w:rPr>
          <w:rFonts w:ascii="Times New Roman" w:hAnsi="Times New Roman" w:cs="Times New Roman"/>
        </w:rPr>
        <w:t>, and the</w:t>
      </w:r>
      <w:r>
        <w:rPr>
          <w:rFonts w:ascii="Times New Roman" w:hAnsi="Times New Roman" w:cs="Times New Roman"/>
        </w:rPr>
        <w:t xml:space="preserve"> sharp increase in state-provided funding for </w:t>
      </w:r>
      <w:r w:rsidR="009773C2">
        <w:rPr>
          <w:rFonts w:ascii="Times New Roman" w:hAnsi="Times New Roman" w:cs="Times New Roman"/>
        </w:rPr>
        <w:t xml:space="preserve">general </w:t>
      </w:r>
      <w:r>
        <w:rPr>
          <w:rFonts w:ascii="Times New Roman" w:hAnsi="Times New Roman" w:cs="Times New Roman"/>
        </w:rPr>
        <w:t xml:space="preserve">education </w:t>
      </w:r>
      <w:r w:rsidR="009773C2">
        <w:rPr>
          <w:rFonts w:ascii="Times New Roman" w:hAnsi="Times New Roman" w:cs="Times New Roman"/>
        </w:rPr>
        <w:t xml:space="preserve">functions </w:t>
      </w:r>
      <w:r w:rsidR="009F0089">
        <w:rPr>
          <w:rFonts w:ascii="Times New Roman" w:hAnsi="Times New Roman" w:cs="Times New Roman"/>
        </w:rPr>
        <w:t xml:space="preserve">is evident </w:t>
      </w:r>
      <w:r>
        <w:rPr>
          <w:rFonts w:ascii="Times New Roman" w:hAnsi="Times New Roman" w:cs="Times New Roman"/>
        </w:rPr>
        <w:t xml:space="preserve">beginning in the 1994-95 academic year. At this time, Michigan school district </w:t>
      </w:r>
      <w:r w:rsidR="009A082F">
        <w:rPr>
          <w:rFonts w:ascii="Times New Roman" w:hAnsi="Times New Roman" w:cs="Times New Roman"/>
        </w:rPr>
        <w:t>operating</w:t>
      </w:r>
      <w:r>
        <w:rPr>
          <w:rFonts w:ascii="Times New Roman" w:hAnsi="Times New Roman" w:cs="Times New Roman"/>
        </w:rPr>
        <w:t xml:space="preserve"> property taxes were capped at 18 mills, relative to an average of </w:t>
      </w:r>
      <w:r w:rsidR="009A082F">
        <w:rPr>
          <w:rFonts w:ascii="Times New Roman" w:hAnsi="Times New Roman" w:cs="Times New Roman"/>
        </w:rPr>
        <w:t>33.4</w:t>
      </w:r>
      <w:r>
        <w:rPr>
          <w:rFonts w:ascii="Times New Roman" w:hAnsi="Times New Roman" w:cs="Times New Roman"/>
        </w:rPr>
        <w:t xml:space="preserve"> mills prior to the change.</w:t>
      </w:r>
      <w:r w:rsidR="009A082F" w:rsidRPr="009A082F">
        <w:rPr>
          <w:rStyle w:val="FootnoteReference"/>
          <w:rFonts w:ascii="Times New Roman" w:hAnsi="Times New Roman" w:cs="Times New Roman"/>
        </w:rPr>
        <w:t xml:space="preserve"> </w:t>
      </w:r>
      <w:r w:rsidR="009A082F">
        <w:rPr>
          <w:rStyle w:val="FootnoteReference"/>
          <w:rFonts w:ascii="Times New Roman" w:hAnsi="Times New Roman" w:cs="Times New Roman"/>
        </w:rPr>
        <w:footnoteReference w:id="5"/>
      </w:r>
      <w:r>
        <w:rPr>
          <w:rFonts w:ascii="Times New Roman" w:hAnsi="Times New Roman" w:cs="Times New Roman"/>
        </w:rPr>
        <w:t xml:space="preserve"> Average per pupil revenues declined in real terms between the 2001-02 academic year and the 2014-15 academic years, although total revenues have increased since that time in part due to higher federal revenues during the COVID-19 pandemic (Burns &amp; Guzman, 2025).</w:t>
      </w:r>
      <w:r w:rsidR="009F0089">
        <w:rPr>
          <w:rStyle w:val="FootnoteReference"/>
          <w:rFonts w:ascii="Times New Roman" w:hAnsi="Times New Roman" w:cs="Times New Roman"/>
        </w:rPr>
        <w:footnoteReference w:id="6"/>
      </w:r>
    </w:p>
    <w:p w14:paraId="15E298C6" w14:textId="471203E9" w:rsidR="002D0026" w:rsidRDefault="002D0026" w:rsidP="00555E09">
      <w:pPr>
        <w:spacing w:after="0" w:line="480" w:lineRule="auto"/>
        <w:ind w:firstLine="720"/>
        <w:rPr>
          <w:rFonts w:ascii="Times New Roman" w:hAnsi="Times New Roman" w:cs="Times New Roman"/>
        </w:rPr>
      </w:pPr>
      <w:r>
        <w:rPr>
          <w:rFonts w:ascii="Times New Roman" w:hAnsi="Times New Roman" w:cs="Times New Roman"/>
        </w:rPr>
        <w:t xml:space="preserve">Panel B of Figure 1 presents average per pupil expenditures in Michigan for non-special education instruction, non-special education support, and special education functions. Expenditures track closely with total revenues, although per pupil instruction expenditures have been more stable than per pupil support expenditures. </w:t>
      </w:r>
      <w:r w:rsidR="009773C2">
        <w:rPr>
          <w:rFonts w:ascii="Times New Roman" w:hAnsi="Times New Roman" w:cs="Times New Roman"/>
        </w:rPr>
        <w:t>Per pupil e</w:t>
      </w:r>
      <w:r>
        <w:rPr>
          <w:rFonts w:ascii="Times New Roman" w:hAnsi="Times New Roman" w:cs="Times New Roman"/>
        </w:rPr>
        <w:t xml:space="preserve">xpenditures for special education have </w:t>
      </w:r>
      <w:r w:rsidR="009773C2">
        <w:rPr>
          <w:rFonts w:ascii="Times New Roman" w:hAnsi="Times New Roman" w:cs="Times New Roman"/>
        </w:rPr>
        <w:t>increased since 1991, although these have been relatively stable since 2011 relative to per pupil support expenditures (Burns &amp; Guzman, 2025).</w:t>
      </w:r>
    </w:p>
    <w:p w14:paraId="590BCCFA" w14:textId="092210DC" w:rsidR="004E4692" w:rsidRDefault="004E4692" w:rsidP="00555E09">
      <w:pPr>
        <w:spacing w:after="0" w:line="480" w:lineRule="auto"/>
        <w:ind w:firstLine="720"/>
        <w:rPr>
          <w:rFonts w:ascii="Times New Roman" w:hAnsi="Times New Roman" w:cs="Times New Roman"/>
        </w:rPr>
      </w:pPr>
      <w:r>
        <w:rPr>
          <w:rFonts w:ascii="Times New Roman" w:hAnsi="Times New Roman" w:cs="Times New Roman"/>
        </w:rPr>
        <w:t xml:space="preserve">While school districts may use any of their general revenues to provide special education, special education services are substantially more expensive relative to general education services (Chambers et al., 2005; Parrish et al., 2015). Across the U.S., school districts spend an average of </w:t>
      </w:r>
      <w:r>
        <w:rPr>
          <w:rFonts w:ascii="Times New Roman" w:hAnsi="Times New Roman" w:cs="Times New Roman"/>
        </w:rPr>
        <w:lastRenderedPageBreak/>
        <w:t xml:space="preserve">$13,047 more for the average student with a disability relative to a general education student, and these additional expenditures vary dramatically by disability (Chambers et al., 2005). In addition, students with disabilities have strong legal protections under IDEA to ensure that school districts provide all services necessary for them to receive a “free and appropriate public education,” (IDEA, 2019). Federal funding is provided primarily through IDEA, although this funding </w:t>
      </w:r>
      <w:r w:rsidR="003F476B">
        <w:rPr>
          <w:rFonts w:ascii="Times New Roman" w:hAnsi="Times New Roman" w:cs="Times New Roman"/>
        </w:rPr>
        <w:t>covers</w:t>
      </w:r>
      <w:r>
        <w:rPr>
          <w:rFonts w:ascii="Times New Roman" w:hAnsi="Times New Roman" w:cs="Times New Roman"/>
        </w:rPr>
        <w:t xml:space="preserve"> only about 1</w:t>
      </w:r>
      <w:r w:rsidR="003F476B">
        <w:rPr>
          <w:rFonts w:ascii="Times New Roman" w:hAnsi="Times New Roman" w:cs="Times New Roman"/>
        </w:rPr>
        <w:t>5</w:t>
      </w:r>
      <w:r>
        <w:rPr>
          <w:rFonts w:ascii="Times New Roman" w:hAnsi="Times New Roman" w:cs="Times New Roman"/>
        </w:rPr>
        <w:t xml:space="preserve">% special education </w:t>
      </w:r>
      <w:r w:rsidR="003F476B">
        <w:rPr>
          <w:rFonts w:ascii="Times New Roman" w:hAnsi="Times New Roman" w:cs="Times New Roman"/>
        </w:rPr>
        <w:t xml:space="preserve">spending in the U.S. </w:t>
      </w:r>
      <w:r>
        <w:rPr>
          <w:rFonts w:ascii="Times New Roman" w:hAnsi="Times New Roman" w:cs="Times New Roman"/>
        </w:rPr>
        <w:t>(</w:t>
      </w:r>
      <w:r w:rsidR="003F476B">
        <w:rPr>
          <w:rFonts w:ascii="Times New Roman" w:hAnsi="Times New Roman" w:cs="Times New Roman"/>
        </w:rPr>
        <w:t>Kolbe, 2019; Kolbe et al., 2022</w:t>
      </w:r>
      <w:r>
        <w:rPr>
          <w:rFonts w:ascii="Times New Roman" w:hAnsi="Times New Roman" w:cs="Times New Roman"/>
        </w:rPr>
        <w:t>). In addition, the State of Michigan reimburses school districts for 28.6% of their total special education expenditures in each academic year</w:t>
      </w:r>
      <w:r w:rsidR="009F0089">
        <w:rPr>
          <w:rFonts w:ascii="Times New Roman" w:hAnsi="Times New Roman" w:cs="Times New Roman"/>
        </w:rPr>
        <w:t>, and</w:t>
      </w:r>
      <w:r>
        <w:rPr>
          <w:rFonts w:ascii="Times New Roman" w:hAnsi="Times New Roman" w:cs="Times New Roman"/>
        </w:rPr>
        <w:t xml:space="preserve"> </w:t>
      </w:r>
      <w:r w:rsidR="009F0089">
        <w:rPr>
          <w:rFonts w:ascii="Times New Roman" w:hAnsi="Times New Roman" w:cs="Times New Roman"/>
        </w:rPr>
        <w:t>s</w:t>
      </w:r>
      <w:r>
        <w:rPr>
          <w:rFonts w:ascii="Times New Roman" w:hAnsi="Times New Roman" w:cs="Times New Roman"/>
        </w:rPr>
        <w:t xml:space="preserve">chool districts must fund </w:t>
      </w:r>
      <w:r w:rsidR="009F0089">
        <w:rPr>
          <w:rFonts w:ascii="Times New Roman" w:hAnsi="Times New Roman" w:cs="Times New Roman"/>
        </w:rPr>
        <w:t xml:space="preserve">all other </w:t>
      </w:r>
      <w:r>
        <w:rPr>
          <w:rFonts w:ascii="Times New Roman" w:hAnsi="Times New Roman" w:cs="Times New Roman"/>
        </w:rPr>
        <w:t xml:space="preserve">special education </w:t>
      </w:r>
      <w:r w:rsidR="009F0089">
        <w:rPr>
          <w:rFonts w:ascii="Times New Roman" w:hAnsi="Times New Roman" w:cs="Times New Roman"/>
        </w:rPr>
        <w:t>expenditures</w:t>
      </w:r>
      <w:r>
        <w:rPr>
          <w:rFonts w:ascii="Times New Roman" w:hAnsi="Times New Roman" w:cs="Times New Roman"/>
        </w:rPr>
        <w:t xml:space="preserve"> through local sources.</w:t>
      </w:r>
    </w:p>
    <w:p w14:paraId="420A271F" w14:textId="6C9370C4" w:rsidR="00BB0D36" w:rsidRDefault="009773C2" w:rsidP="00434EB7">
      <w:pPr>
        <w:spacing w:after="0" w:line="480" w:lineRule="auto"/>
        <w:ind w:firstLine="720"/>
        <w:rPr>
          <w:rFonts w:ascii="Times New Roman" w:hAnsi="Times New Roman" w:cs="Times New Roman"/>
        </w:rPr>
      </w:pPr>
      <w:r>
        <w:rPr>
          <w:rFonts w:ascii="Times New Roman" w:hAnsi="Times New Roman" w:cs="Times New Roman"/>
        </w:rPr>
        <w:t xml:space="preserve">In contrast to general education revenues which are primarily controlled by the state, </w:t>
      </w:r>
      <w:r w:rsidR="00BB0D36" w:rsidRPr="00555E09">
        <w:rPr>
          <w:rFonts w:ascii="Times New Roman" w:hAnsi="Times New Roman" w:cs="Times New Roman"/>
        </w:rPr>
        <w:t>Michigan school districts face significant variation in their abilit</w:t>
      </w:r>
      <w:r>
        <w:rPr>
          <w:rFonts w:ascii="Times New Roman" w:hAnsi="Times New Roman" w:cs="Times New Roman"/>
        </w:rPr>
        <w:t>ies</w:t>
      </w:r>
      <w:r w:rsidR="00BB0D36" w:rsidRPr="00555E09">
        <w:rPr>
          <w:rFonts w:ascii="Times New Roman" w:hAnsi="Times New Roman" w:cs="Times New Roman"/>
        </w:rPr>
        <w:t xml:space="preserve"> to raise revenues for special education. The State's </w:t>
      </w:r>
      <w:r w:rsidR="00C71CCB">
        <w:rPr>
          <w:rFonts w:ascii="Times New Roman" w:hAnsi="Times New Roman" w:cs="Times New Roman"/>
        </w:rPr>
        <w:t>538</w:t>
      </w:r>
      <w:r w:rsidR="00BB0D36" w:rsidRPr="00555E09">
        <w:rPr>
          <w:rFonts w:ascii="Times New Roman" w:hAnsi="Times New Roman" w:cs="Times New Roman"/>
        </w:rPr>
        <w:t xml:space="preserve"> traditional </w:t>
      </w:r>
      <w:proofErr w:type="gramStart"/>
      <w:r w:rsidR="00BB0D36" w:rsidRPr="00555E09">
        <w:rPr>
          <w:rFonts w:ascii="Times New Roman" w:hAnsi="Times New Roman" w:cs="Times New Roman"/>
        </w:rPr>
        <w:t>public school</w:t>
      </w:r>
      <w:proofErr w:type="gramEnd"/>
      <w:r w:rsidR="00BB0D36" w:rsidRPr="00555E09">
        <w:rPr>
          <w:rFonts w:ascii="Times New Roman" w:hAnsi="Times New Roman" w:cs="Times New Roman"/>
        </w:rPr>
        <w:t xml:space="preserve"> districts</w:t>
      </w:r>
      <w:r w:rsidR="00C71CCB">
        <w:rPr>
          <w:rFonts w:ascii="Times New Roman" w:hAnsi="Times New Roman" w:cs="Times New Roman"/>
        </w:rPr>
        <w:t xml:space="preserve"> and 287 charter school districts</w:t>
      </w:r>
      <w:r w:rsidR="00BB0D36" w:rsidRPr="00555E09">
        <w:rPr>
          <w:rFonts w:ascii="Times New Roman" w:hAnsi="Times New Roman" w:cs="Times New Roman"/>
        </w:rPr>
        <w:t xml:space="preserve"> are organized into 56 Intermediate School Districts (ISDs), and these administrative groups of geographically neighboring districts share resources for special education services. </w:t>
      </w:r>
      <w:r w:rsidR="00434EB7">
        <w:rPr>
          <w:rFonts w:ascii="Times New Roman" w:hAnsi="Times New Roman" w:cs="Times New Roman"/>
        </w:rPr>
        <w:t xml:space="preserve">In addition to federal and state revenue streams for special education, </w:t>
      </w:r>
      <w:r w:rsidR="00BB0D36" w:rsidRPr="00555E09">
        <w:rPr>
          <w:rFonts w:ascii="Times New Roman" w:hAnsi="Times New Roman" w:cs="Times New Roman"/>
        </w:rPr>
        <w:t>ISDs levy property taxes</w:t>
      </w:r>
      <w:r w:rsidR="00B56026">
        <w:rPr>
          <w:rFonts w:ascii="Times New Roman" w:hAnsi="Times New Roman" w:cs="Times New Roman"/>
        </w:rPr>
        <w:t xml:space="preserve"> specifically</w:t>
      </w:r>
      <w:r w:rsidR="00BB0D36" w:rsidRPr="00555E09">
        <w:rPr>
          <w:rFonts w:ascii="Times New Roman" w:hAnsi="Times New Roman" w:cs="Times New Roman"/>
        </w:rPr>
        <w:t xml:space="preserve"> to finance special education in their constituent districts</w:t>
      </w:r>
      <w:r w:rsidR="00B56026">
        <w:rPr>
          <w:rFonts w:ascii="Times New Roman" w:hAnsi="Times New Roman" w:cs="Times New Roman"/>
        </w:rPr>
        <w:t>.</w:t>
      </w:r>
    </w:p>
    <w:p w14:paraId="26BCC883" w14:textId="499187F5" w:rsidR="009522E9" w:rsidRDefault="009522E9" w:rsidP="00555E09">
      <w:pPr>
        <w:spacing w:after="0" w:line="480" w:lineRule="auto"/>
        <w:ind w:firstLine="720"/>
        <w:rPr>
          <w:rFonts w:ascii="Times New Roman" w:hAnsi="Times New Roman" w:cs="Times New Roman"/>
        </w:rPr>
      </w:pPr>
      <w:r>
        <w:rPr>
          <w:rFonts w:ascii="Times New Roman" w:hAnsi="Times New Roman" w:cs="Times New Roman"/>
        </w:rPr>
        <w:t xml:space="preserve">A map of one ISD is provided in Figure </w:t>
      </w:r>
      <w:r w:rsidR="009773C2">
        <w:rPr>
          <w:rFonts w:ascii="Times New Roman" w:hAnsi="Times New Roman" w:cs="Times New Roman"/>
        </w:rPr>
        <w:t>2</w:t>
      </w:r>
      <w:r>
        <w:rPr>
          <w:rFonts w:ascii="Times New Roman" w:hAnsi="Times New Roman" w:cs="Times New Roman"/>
        </w:rPr>
        <w:t xml:space="preserve">. This figure illustrates Ingham ISD, and </w:t>
      </w:r>
      <w:r w:rsidR="009F0089">
        <w:rPr>
          <w:rFonts w:ascii="Times New Roman" w:hAnsi="Times New Roman" w:cs="Times New Roman"/>
        </w:rPr>
        <w:t>this ISD is</w:t>
      </w:r>
      <w:r>
        <w:rPr>
          <w:rFonts w:ascii="Times New Roman" w:hAnsi="Times New Roman" w:cs="Times New Roman"/>
        </w:rPr>
        <w:t xml:space="preserve"> comprised of 12 constituent districts in central Michigan. While each of the 12 constituent districts operates independently with their own </w:t>
      </w:r>
      <w:r w:rsidR="00434EB7">
        <w:rPr>
          <w:rFonts w:ascii="Times New Roman" w:hAnsi="Times New Roman" w:cs="Times New Roman"/>
        </w:rPr>
        <w:t xml:space="preserve">general education </w:t>
      </w:r>
      <w:r w:rsidR="009773C2">
        <w:rPr>
          <w:rFonts w:ascii="Times New Roman" w:hAnsi="Times New Roman" w:cs="Times New Roman"/>
        </w:rPr>
        <w:t>revenues</w:t>
      </w:r>
      <w:r>
        <w:rPr>
          <w:rFonts w:ascii="Times New Roman" w:hAnsi="Times New Roman" w:cs="Times New Roman"/>
        </w:rPr>
        <w:t xml:space="preserve"> and administration, the ISD collects revenues from</w:t>
      </w:r>
      <w:r w:rsidR="00434EB7">
        <w:rPr>
          <w:rFonts w:ascii="Times New Roman" w:hAnsi="Times New Roman" w:cs="Times New Roman"/>
        </w:rPr>
        <w:t xml:space="preserve"> earmarked</w:t>
      </w:r>
      <w:r>
        <w:rPr>
          <w:rFonts w:ascii="Times New Roman" w:hAnsi="Times New Roman" w:cs="Times New Roman"/>
        </w:rPr>
        <w:t xml:space="preserve"> special education property taxes as well. The ISD may use the revenues from these taxes to support </w:t>
      </w:r>
      <w:r w:rsidR="009773C2">
        <w:rPr>
          <w:rFonts w:ascii="Times New Roman" w:hAnsi="Times New Roman" w:cs="Times New Roman"/>
        </w:rPr>
        <w:t>ISD-wide</w:t>
      </w:r>
      <w:r>
        <w:rPr>
          <w:rFonts w:ascii="Times New Roman" w:hAnsi="Times New Roman" w:cs="Times New Roman"/>
        </w:rPr>
        <w:t xml:space="preserve"> special education programs and supplement local school district special education programs, or they may transfer the revenues </w:t>
      </w:r>
      <w:r w:rsidR="009773C2">
        <w:rPr>
          <w:rFonts w:ascii="Times New Roman" w:hAnsi="Times New Roman" w:cs="Times New Roman"/>
        </w:rPr>
        <w:lastRenderedPageBreak/>
        <w:t xml:space="preserve">from this property tax </w:t>
      </w:r>
      <w:r>
        <w:rPr>
          <w:rFonts w:ascii="Times New Roman" w:hAnsi="Times New Roman" w:cs="Times New Roman"/>
        </w:rPr>
        <w:t>directly to school districts as well.</w:t>
      </w:r>
      <w:r w:rsidR="00B56026">
        <w:rPr>
          <w:rStyle w:val="FootnoteReference"/>
          <w:rFonts w:ascii="Times New Roman" w:hAnsi="Times New Roman" w:cs="Times New Roman"/>
        </w:rPr>
        <w:footnoteReference w:id="7"/>
      </w:r>
      <w:r w:rsidR="00B56026" w:rsidRPr="00B56026">
        <w:rPr>
          <w:rFonts w:ascii="Times New Roman" w:hAnsi="Times New Roman" w:cs="Times New Roman"/>
        </w:rPr>
        <w:t xml:space="preserve"> </w:t>
      </w:r>
      <w:r>
        <w:rPr>
          <w:rFonts w:ascii="Times New Roman" w:hAnsi="Times New Roman" w:cs="Times New Roman"/>
        </w:rPr>
        <w:t>This structure enables collaboration and returns to scale as ISDs typically provide support for the highest need disabilities directly (</w:t>
      </w:r>
      <w:r w:rsidR="00B56026">
        <w:rPr>
          <w:rFonts w:ascii="Times New Roman" w:hAnsi="Times New Roman" w:cs="Times New Roman"/>
        </w:rPr>
        <w:t>Arsen et al., 2019</w:t>
      </w:r>
      <w:r>
        <w:rPr>
          <w:rFonts w:ascii="Times New Roman" w:hAnsi="Times New Roman" w:cs="Times New Roman"/>
        </w:rPr>
        <w:t>).</w:t>
      </w:r>
      <w:r w:rsidR="00B56026">
        <w:rPr>
          <w:rStyle w:val="FootnoteReference"/>
          <w:rFonts w:ascii="Times New Roman" w:hAnsi="Times New Roman" w:cs="Times New Roman"/>
        </w:rPr>
        <w:footnoteReference w:id="8"/>
      </w:r>
    </w:p>
    <w:p w14:paraId="3A430B6F" w14:textId="4F284480" w:rsidR="009522E9" w:rsidRPr="00555E09" w:rsidRDefault="009522E9" w:rsidP="009522E9">
      <w:pPr>
        <w:spacing w:after="0" w:line="480" w:lineRule="auto"/>
        <w:jc w:val="center"/>
        <w:rPr>
          <w:rFonts w:ascii="Times New Roman" w:hAnsi="Times New Roman" w:cs="Times New Roman"/>
        </w:rPr>
      </w:pPr>
      <w:r>
        <w:rPr>
          <w:rFonts w:ascii="Times New Roman" w:hAnsi="Times New Roman" w:cs="Times New Roman"/>
        </w:rPr>
        <w:t xml:space="preserve">[Figure </w:t>
      </w:r>
      <w:r w:rsidR="009773C2">
        <w:rPr>
          <w:rFonts w:ascii="Times New Roman" w:hAnsi="Times New Roman" w:cs="Times New Roman"/>
        </w:rPr>
        <w:t>2</w:t>
      </w:r>
      <w:r>
        <w:rPr>
          <w:rFonts w:ascii="Times New Roman" w:hAnsi="Times New Roman" w:cs="Times New Roman"/>
        </w:rPr>
        <w:t xml:space="preserve"> about here]</w:t>
      </w:r>
    </w:p>
    <w:p w14:paraId="7D6DBD91" w14:textId="7866F32B" w:rsidR="00BB0D36" w:rsidRDefault="00BB0D36" w:rsidP="00555E09">
      <w:pPr>
        <w:spacing w:after="0" w:line="480" w:lineRule="auto"/>
        <w:ind w:firstLine="720"/>
        <w:rPr>
          <w:rFonts w:ascii="Times New Roman" w:hAnsi="Times New Roman" w:cs="Times New Roman"/>
        </w:rPr>
      </w:pPr>
      <w:r w:rsidRPr="00555E09">
        <w:rPr>
          <w:rFonts w:ascii="Times New Roman" w:hAnsi="Times New Roman" w:cs="Times New Roman"/>
        </w:rPr>
        <w:t>To raise revenues for special education, ISDs can renew</w:t>
      </w:r>
      <w:r w:rsidR="00B56026">
        <w:rPr>
          <w:rFonts w:ascii="Times New Roman" w:hAnsi="Times New Roman" w:cs="Times New Roman"/>
        </w:rPr>
        <w:t xml:space="preserve"> or increase</w:t>
      </w:r>
      <w:r w:rsidRPr="00555E09">
        <w:rPr>
          <w:rFonts w:ascii="Times New Roman" w:hAnsi="Times New Roman" w:cs="Times New Roman"/>
        </w:rPr>
        <w:t xml:space="preserve"> special education-specific property taxes subject to an ISD-wide vote. Property taxes for special education must be submitted to voters, and these taxes are typically adopted for between 5 and 20 years. Taxes must be reauthorized by voters when they expire, and ISDs may choose any property tax level to place on the ballot subject to a state maximum.</w:t>
      </w:r>
      <w:r w:rsidR="00264704">
        <w:rPr>
          <w:rStyle w:val="FootnoteReference"/>
          <w:rFonts w:ascii="Times New Roman" w:hAnsi="Times New Roman" w:cs="Times New Roman"/>
        </w:rPr>
        <w:footnoteReference w:id="9"/>
      </w:r>
      <w:r w:rsidR="00264704">
        <w:rPr>
          <w:rFonts w:ascii="Times New Roman" w:hAnsi="Times New Roman" w:cs="Times New Roman"/>
        </w:rPr>
        <w:t xml:space="preserve"> </w:t>
      </w:r>
      <w:r w:rsidRPr="00555E09">
        <w:rPr>
          <w:rFonts w:ascii="Times New Roman" w:hAnsi="Times New Roman" w:cs="Times New Roman"/>
        </w:rPr>
        <w:t>This structure can create sudden, sharp increases in local funding for special education when ISDs adopt new, larger property taxes to support special education.</w:t>
      </w:r>
      <w:r w:rsidR="00264704">
        <w:rPr>
          <w:rStyle w:val="FootnoteReference"/>
          <w:rFonts w:ascii="Times New Roman" w:hAnsi="Times New Roman" w:cs="Times New Roman"/>
        </w:rPr>
        <w:footnoteReference w:id="10"/>
      </w:r>
    </w:p>
    <w:p w14:paraId="1C0420D1" w14:textId="5229A70F" w:rsidR="00981222" w:rsidRDefault="00981222" w:rsidP="00555E09">
      <w:pPr>
        <w:spacing w:after="0" w:line="480" w:lineRule="auto"/>
        <w:ind w:firstLine="720"/>
        <w:rPr>
          <w:rFonts w:ascii="Times New Roman" w:hAnsi="Times New Roman" w:cs="Times New Roman"/>
        </w:rPr>
      </w:pPr>
      <w:r>
        <w:rPr>
          <w:rFonts w:ascii="Times New Roman" w:hAnsi="Times New Roman" w:cs="Times New Roman"/>
        </w:rPr>
        <w:t xml:space="preserve">An example of the revenue effects of this property tax increase is presented in Figure </w:t>
      </w:r>
      <w:r w:rsidR="009773C2">
        <w:rPr>
          <w:rFonts w:ascii="Times New Roman" w:hAnsi="Times New Roman" w:cs="Times New Roman"/>
        </w:rPr>
        <w:t>3</w:t>
      </w:r>
      <w:r>
        <w:rPr>
          <w:rFonts w:ascii="Times New Roman" w:hAnsi="Times New Roman" w:cs="Times New Roman"/>
        </w:rPr>
        <w:t>.</w:t>
      </w:r>
      <w:r w:rsidR="009522E9">
        <w:rPr>
          <w:rFonts w:ascii="Times New Roman" w:hAnsi="Times New Roman" w:cs="Times New Roman"/>
        </w:rPr>
        <w:t xml:space="preserve"> This figure presents the per pupil revenues for special education in one example ISD, and this ISD adopted a new property tax for special education in 2015. In this year, local revenues for special education increased by approximately $400 per pupil. I leverage this variation to determine whether and how additional funding for special education impacts ISD-level and school district-level finances.</w:t>
      </w:r>
    </w:p>
    <w:p w14:paraId="375AB291" w14:textId="1A685FBD" w:rsidR="00981222" w:rsidRDefault="00981222" w:rsidP="00981222">
      <w:pPr>
        <w:spacing w:after="0" w:line="480" w:lineRule="auto"/>
        <w:jc w:val="center"/>
        <w:rPr>
          <w:rFonts w:ascii="Times New Roman" w:hAnsi="Times New Roman" w:cs="Times New Roman"/>
        </w:rPr>
      </w:pPr>
      <w:r>
        <w:rPr>
          <w:rFonts w:ascii="Times New Roman" w:hAnsi="Times New Roman" w:cs="Times New Roman"/>
        </w:rPr>
        <w:lastRenderedPageBreak/>
        <w:t xml:space="preserve">[Figure </w:t>
      </w:r>
      <w:r w:rsidR="009773C2">
        <w:rPr>
          <w:rFonts w:ascii="Times New Roman" w:hAnsi="Times New Roman" w:cs="Times New Roman"/>
        </w:rPr>
        <w:t>3</w:t>
      </w:r>
      <w:r>
        <w:rPr>
          <w:rFonts w:ascii="Times New Roman" w:hAnsi="Times New Roman" w:cs="Times New Roman"/>
        </w:rPr>
        <w:t xml:space="preserve"> </w:t>
      </w:r>
      <w:r w:rsidR="009773C2">
        <w:rPr>
          <w:rFonts w:ascii="Times New Roman" w:hAnsi="Times New Roman" w:cs="Times New Roman"/>
        </w:rPr>
        <w:t>about</w:t>
      </w:r>
      <w:r>
        <w:rPr>
          <w:rFonts w:ascii="Times New Roman" w:hAnsi="Times New Roman" w:cs="Times New Roman"/>
        </w:rPr>
        <w:t xml:space="preserve"> here]</w:t>
      </w:r>
    </w:p>
    <w:p w14:paraId="49DA4700" w14:textId="307507FF" w:rsidR="00772CDA" w:rsidRPr="00555E09" w:rsidRDefault="00772CDA" w:rsidP="00772CDA">
      <w:pPr>
        <w:spacing w:after="0" w:line="480" w:lineRule="auto"/>
        <w:ind w:firstLine="720"/>
        <w:rPr>
          <w:rFonts w:ascii="Times New Roman" w:hAnsi="Times New Roman" w:cs="Times New Roman"/>
        </w:rPr>
      </w:pPr>
      <w:r w:rsidRPr="00555E09">
        <w:rPr>
          <w:rFonts w:ascii="Times New Roman" w:hAnsi="Times New Roman" w:cs="Times New Roman"/>
        </w:rPr>
        <w:t xml:space="preserve">While all ISDs are legally allowed to raise property taxes for special education through a ballot initiative, ISDs vary dramatically in the willingness of their citizens to adopt these changes. Among the 56 ISDs, </w:t>
      </w:r>
      <w:r w:rsidR="00227751">
        <w:rPr>
          <w:rFonts w:ascii="Times New Roman" w:hAnsi="Times New Roman" w:cs="Times New Roman"/>
        </w:rPr>
        <w:t>26</w:t>
      </w:r>
      <w:r w:rsidRPr="00555E09">
        <w:rPr>
          <w:rFonts w:ascii="Times New Roman" w:hAnsi="Times New Roman" w:cs="Times New Roman"/>
        </w:rPr>
        <w:t xml:space="preserve"> have adopted new special education property taxes since 200</w:t>
      </w:r>
      <w:r w:rsidR="00227751">
        <w:rPr>
          <w:rFonts w:ascii="Times New Roman" w:hAnsi="Times New Roman" w:cs="Times New Roman"/>
        </w:rPr>
        <w:t>3</w:t>
      </w:r>
      <w:r w:rsidRPr="00555E09">
        <w:rPr>
          <w:rFonts w:ascii="Times New Roman" w:hAnsi="Times New Roman" w:cs="Times New Roman"/>
        </w:rPr>
        <w:t>-0</w:t>
      </w:r>
      <w:r w:rsidR="00227751">
        <w:rPr>
          <w:rFonts w:ascii="Times New Roman" w:hAnsi="Times New Roman" w:cs="Times New Roman"/>
        </w:rPr>
        <w:t>4</w:t>
      </w:r>
      <w:r w:rsidRPr="00555E09">
        <w:rPr>
          <w:rFonts w:ascii="Times New Roman" w:hAnsi="Times New Roman" w:cs="Times New Roman"/>
        </w:rPr>
        <w:t xml:space="preserve"> academic year.</w:t>
      </w:r>
      <w:r w:rsidR="00227751">
        <w:rPr>
          <w:rStyle w:val="FootnoteReference"/>
          <w:rFonts w:ascii="Times New Roman" w:hAnsi="Times New Roman" w:cs="Times New Roman"/>
        </w:rPr>
        <w:footnoteReference w:id="11"/>
      </w:r>
      <w:r w:rsidRPr="00555E09">
        <w:rPr>
          <w:rFonts w:ascii="Times New Roman" w:hAnsi="Times New Roman" w:cs="Times New Roman"/>
        </w:rPr>
        <w:t xml:space="preserve"> Among those that haven't adopted a new special education property tax during this time, some have never adopted a property tax for special education since the establishment of the ISD</w:t>
      </w:r>
      <w:r w:rsidR="00227751">
        <w:rPr>
          <w:rFonts w:ascii="Times New Roman" w:hAnsi="Times New Roman" w:cs="Times New Roman"/>
        </w:rPr>
        <w:t xml:space="preserve"> structure in Michigan</w:t>
      </w:r>
      <w:r w:rsidRPr="00555E09">
        <w:rPr>
          <w:rFonts w:ascii="Times New Roman" w:hAnsi="Times New Roman" w:cs="Times New Roman"/>
        </w:rPr>
        <w:t xml:space="preserve"> in the early 1960s. Further, among those that have adopted new property taxes, some have adopted new property taxes as many as four times during this period. </w:t>
      </w:r>
    </w:p>
    <w:p w14:paraId="4824C23E" w14:textId="3FED8F79" w:rsidR="00227751" w:rsidRDefault="00772CDA" w:rsidP="00772CDA">
      <w:pPr>
        <w:spacing w:after="0" w:line="480" w:lineRule="auto"/>
        <w:ind w:firstLine="720"/>
        <w:rPr>
          <w:rFonts w:ascii="Times New Roman" w:hAnsi="Times New Roman" w:cs="Times New Roman"/>
        </w:rPr>
      </w:pPr>
      <w:r w:rsidRPr="00555E09">
        <w:rPr>
          <w:rFonts w:ascii="Times New Roman" w:hAnsi="Times New Roman" w:cs="Times New Roman"/>
        </w:rPr>
        <w:t>These differences in ISDs</w:t>
      </w:r>
      <w:r>
        <w:rPr>
          <w:rFonts w:ascii="Times New Roman" w:hAnsi="Times New Roman" w:cs="Times New Roman"/>
        </w:rPr>
        <w:t>’</w:t>
      </w:r>
      <w:r w:rsidRPr="00555E09">
        <w:rPr>
          <w:rFonts w:ascii="Times New Roman" w:hAnsi="Times New Roman" w:cs="Times New Roman"/>
        </w:rPr>
        <w:t xml:space="preserve"> practical abilities to implement this policy create analytic challenges. Although any ISD could adopt a new property tax at any time or renew a property tax, some ISDs have not done so during my sample period, and some have not adopted a property tax for special education in recent memory. </w:t>
      </w:r>
      <w:r w:rsidR="00227751">
        <w:rPr>
          <w:rFonts w:ascii="Times New Roman" w:hAnsi="Times New Roman" w:cs="Times New Roman"/>
        </w:rPr>
        <w:t>To account for these, I re-estimate my primary models using the sample of ISDs that have passed a special education property tax at least once during my sample period. In addition, I also incorporate synthetic difference-in-differences models in my robustness checks following Arkhangelsky et al. (2024). To the extent that never treated ISDs are different from treated ISDs on unobservable characteristics, these approaches will mitigate bias in the estimate of the average treatment effect.</w:t>
      </w:r>
    </w:p>
    <w:p w14:paraId="084F5D09" w14:textId="6EFD1D70" w:rsidR="00B606BE" w:rsidRDefault="00B606BE" w:rsidP="00B606BE">
      <w:pPr>
        <w:spacing w:after="0" w:line="480" w:lineRule="auto"/>
        <w:rPr>
          <w:rFonts w:ascii="Times New Roman" w:hAnsi="Times New Roman" w:cs="Times New Roman"/>
          <w:b/>
          <w:bCs/>
        </w:rPr>
      </w:pPr>
      <w:r w:rsidRPr="00B606BE">
        <w:rPr>
          <w:rFonts w:ascii="Times New Roman" w:hAnsi="Times New Roman" w:cs="Times New Roman"/>
          <w:b/>
          <w:bCs/>
        </w:rPr>
        <w:t>Theoretical Background</w:t>
      </w:r>
    </w:p>
    <w:p w14:paraId="17B721F8" w14:textId="07BC618E" w:rsidR="00480D0C" w:rsidRDefault="009773C2" w:rsidP="00B56026">
      <w:pPr>
        <w:spacing w:after="0" w:line="480" w:lineRule="auto"/>
        <w:ind w:firstLine="720"/>
        <w:rPr>
          <w:rFonts w:ascii="Times New Roman" w:hAnsi="Times New Roman" w:cs="Times New Roman"/>
        </w:rPr>
      </w:pPr>
      <w:r>
        <w:rPr>
          <w:rFonts w:ascii="Times New Roman" w:hAnsi="Times New Roman" w:cs="Times New Roman"/>
        </w:rPr>
        <w:t>To illustrate th</w:t>
      </w:r>
      <w:r w:rsidR="00480D0C">
        <w:rPr>
          <w:rFonts w:ascii="Times New Roman" w:hAnsi="Times New Roman" w:cs="Times New Roman"/>
        </w:rPr>
        <w:t>e effect of this policy change, Figure 4 presents the ISD’s budget constraint with an earmarked property tax for special education.</w:t>
      </w:r>
      <w:r w:rsidR="00B668B4">
        <w:rPr>
          <w:rStyle w:val="FootnoteReference"/>
          <w:rFonts w:ascii="Times New Roman" w:hAnsi="Times New Roman" w:cs="Times New Roman"/>
        </w:rPr>
        <w:footnoteReference w:id="12"/>
      </w:r>
      <w:r w:rsidR="00480D0C">
        <w:rPr>
          <w:rFonts w:ascii="Times New Roman" w:hAnsi="Times New Roman" w:cs="Times New Roman"/>
        </w:rPr>
        <w:t xml:space="preserve"> In this simplified example, the x-axis </w:t>
      </w:r>
      <w:r w:rsidR="00480D0C">
        <w:rPr>
          <w:rFonts w:ascii="Times New Roman" w:hAnsi="Times New Roman" w:cs="Times New Roman"/>
        </w:rPr>
        <w:lastRenderedPageBreak/>
        <w:t xml:space="preserve">represents per pupil expenditures for special education, and the y-axis represents all other per pupil expenditures. The </w:t>
      </w:r>
      <w:r w:rsidR="009F0089">
        <w:rPr>
          <w:rFonts w:ascii="Times New Roman" w:hAnsi="Times New Roman" w:cs="Times New Roman"/>
        </w:rPr>
        <w:t xml:space="preserve">solid </w:t>
      </w:r>
      <w:r w:rsidR="00480D0C">
        <w:rPr>
          <w:rFonts w:ascii="Times New Roman" w:hAnsi="Times New Roman" w:cs="Times New Roman"/>
        </w:rPr>
        <w:t xml:space="preserve">black </w:t>
      </w:r>
      <w:r w:rsidR="009F0089">
        <w:rPr>
          <w:rFonts w:ascii="Times New Roman" w:hAnsi="Times New Roman" w:cs="Times New Roman"/>
        </w:rPr>
        <w:t>line</w:t>
      </w:r>
      <w:r w:rsidR="00480D0C">
        <w:rPr>
          <w:rFonts w:ascii="Times New Roman" w:hAnsi="Times New Roman" w:cs="Times New Roman"/>
        </w:rPr>
        <w:t xml:space="preserve"> illustrates the ISD’s budget constraint prior to the property tax change. Here, the ISD may choose any allocation along the black line, </w:t>
      </w:r>
      <w:r w:rsidR="009F0089">
        <w:rPr>
          <w:rFonts w:ascii="Times New Roman" w:hAnsi="Times New Roman" w:cs="Times New Roman"/>
        </w:rPr>
        <w:t xml:space="preserve">and </w:t>
      </w:r>
      <w:r w:rsidR="00480D0C">
        <w:rPr>
          <w:rFonts w:ascii="Times New Roman" w:hAnsi="Times New Roman" w:cs="Times New Roman"/>
        </w:rPr>
        <w:t xml:space="preserve">the restricted grant for special education may not be spent on non-special education functions. </w:t>
      </w:r>
    </w:p>
    <w:p w14:paraId="184863C6" w14:textId="234B1CA9" w:rsidR="00480D0C" w:rsidRDefault="00480D0C" w:rsidP="00480D0C">
      <w:pPr>
        <w:spacing w:after="0" w:line="480" w:lineRule="auto"/>
        <w:jc w:val="center"/>
        <w:rPr>
          <w:rFonts w:ascii="Times New Roman" w:hAnsi="Times New Roman" w:cs="Times New Roman"/>
        </w:rPr>
      </w:pPr>
      <w:r>
        <w:rPr>
          <w:rFonts w:ascii="Times New Roman" w:hAnsi="Times New Roman" w:cs="Times New Roman"/>
        </w:rPr>
        <w:t>[Figure 4 about here]</w:t>
      </w:r>
    </w:p>
    <w:p w14:paraId="41888CDA" w14:textId="49A3E40F" w:rsidR="00B56026" w:rsidRDefault="00480D0C" w:rsidP="00480D0C">
      <w:pPr>
        <w:spacing w:after="0" w:line="480" w:lineRule="auto"/>
        <w:ind w:firstLine="720"/>
        <w:rPr>
          <w:rFonts w:ascii="Times New Roman" w:hAnsi="Times New Roman" w:cs="Times New Roman"/>
        </w:rPr>
      </w:pPr>
      <w:r>
        <w:rPr>
          <w:rFonts w:ascii="Times New Roman" w:hAnsi="Times New Roman" w:cs="Times New Roman"/>
        </w:rPr>
        <w:t xml:space="preserve">Following the property tax change, the ISD moves to the blue budget constraint </w:t>
      </w:r>
      <w:r w:rsidR="009F0089">
        <w:rPr>
          <w:rFonts w:ascii="Times New Roman" w:hAnsi="Times New Roman" w:cs="Times New Roman"/>
        </w:rPr>
        <w:t xml:space="preserve">in </w:t>
      </w:r>
      <w:r>
        <w:rPr>
          <w:rFonts w:ascii="Times New Roman" w:hAnsi="Times New Roman" w:cs="Times New Roman"/>
        </w:rPr>
        <w:t>Figure 4. This does not change the ISD’s budget constraint for non-special education, although the ISD is able to spend more on special education after the tax change.</w:t>
      </w:r>
    </w:p>
    <w:p w14:paraId="4DA7FA77" w14:textId="3848209C" w:rsidR="009F0089" w:rsidRDefault="009F0089" w:rsidP="00480D0C">
      <w:pPr>
        <w:spacing w:after="0" w:line="480" w:lineRule="auto"/>
        <w:ind w:firstLine="720"/>
        <w:rPr>
          <w:rFonts w:ascii="Times New Roman" w:hAnsi="Times New Roman" w:cs="Times New Roman"/>
        </w:rPr>
      </w:pPr>
      <w:r>
        <w:rPr>
          <w:rFonts w:ascii="Times New Roman" w:hAnsi="Times New Roman" w:cs="Times New Roman"/>
        </w:rPr>
        <w:t xml:space="preserve">In this example, ISDs would be predicted to shift their allocations of spending on special education and non-special education purposes. Given strong administrative oversight of revenues for special education, fiscal fungibility is unlikely in this context and ISDs would be predicted to spend additional </w:t>
      </w:r>
      <w:r w:rsidR="00E43973">
        <w:rPr>
          <w:rFonts w:ascii="Times New Roman" w:hAnsi="Times New Roman" w:cs="Times New Roman"/>
        </w:rPr>
        <w:t xml:space="preserve">earmarked </w:t>
      </w:r>
      <w:r>
        <w:rPr>
          <w:rFonts w:ascii="Times New Roman" w:hAnsi="Times New Roman" w:cs="Times New Roman"/>
        </w:rPr>
        <w:t xml:space="preserve">revenue for special education. </w:t>
      </w:r>
      <w:r w:rsidR="00E43973">
        <w:rPr>
          <w:rFonts w:ascii="Times New Roman" w:hAnsi="Times New Roman" w:cs="Times New Roman"/>
        </w:rPr>
        <w:t>Nevertheless, understanding the uses of the additional funds could inform predictions regarding other similar earmarked property taxes.</w:t>
      </w:r>
    </w:p>
    <w:p w14:paraId="11E4D1F2" w14:textId="77777777" w:rsidR="001026B7" w:rsidRPr="001026B7" w:rsidRDefault="001026B7" w:rsidP="001026B7">
      <w:pPr>
        <w:spacing w:after="0" w:line="480" w:lineRule="auto"/>
        <w:rPr>
          <w:rFonts w:ascii="Times New Roman" w:hAnsi="Times New Roman" w:cs="Times New Roman"/>
        </w:rPr>
      </w:pPr>
      <w:r w:rsidRPr="00555E09">
        <w:rPr>
          <w:rFonts w:ascii="Times New Roman" w:hAnsi="Times New Roman" w:cs="Times New Roman"/>
          <w:b/>
          <w:bCs/>
        </w:rPr>
        <w:t>Data</w:t>
      </w:r>
    </w:p>
    <w:p w14:paraId="1256E332" w14:textId="0AFACA24" w:rsidR="001026B7" w:rsidRPr="00555E09" w:rsidRDefault="001026B7" w:rsidP="001026B7">
      <w:pPr>
        <w:spacing w:after="0" w:line="480" w:lineRule="auto"/>
        <w:ind w:firstLine="720"/>
        <w:rPr>
          <w:rFonts w:ascii="Times New Roman" w:hAnsi="Times New Roman" w:cs="Times New Roman"/>
        </w:rPr>
      </w:pPr>
      <w:r w:rsidRPr="00555E09">
        <w:rPr>
          <w:rFonts w:ascii="Times New Roman" w:hAnsi="Times New Roman" w:cs="Times New Roman"/>
        </w:rPr>
        <w:t xml:space="preserve">To determine </w:t>
      </w:r>
      <w:r w:rsidR="005700B3">
        <w:rPr>
          <w:rFonts w:ascii="Times New Roman" w:hAnsi="Times New Roman" w:cs="Times New Roman"/>
        </w:rPr>
        <w:t xml:space="preserve">the impacts of earmarked property taxes for special education on school district finances, </w:t>
      </w:r>
      <w:r w:rsidRPr="00555E09">
        <w:rPr>
          <w:rFonts w:ascii="Times New Roman" w:hAnsi="Times New Roman" w:cs="Times New Roman"/>
        </w:rPr>
        <w:t>I use public and private datasets provided by the Michigan Department of Education (MDE) between the 200</w:t>
      </w:r>
      <w:r w:rsidR="00673FBC">
        <w:rPr>
          <w:rFonts w:ascii="Times New Roman" w:hAnsi="Times New Roman" w:cs="Times New Roman"/>
        </w:rPr>
        <w:t>3</w:t>
      </w:r>
      <w:r w:rsidRPr="00555E09">
        <w:rPr>
          <w:rFonts w:ascii="Times New Roman" w:hAnsi="Times New Roman" w:cs="Times New Roman"/>
        </w:rPr>
        <w:t>-0</w:t>
      </w:r>
      <w:r w:rsidR="00673FBC">
        <w:rPr>
          <w:rFonts w:ascii="Times New Roman" w:hAnsi="Times New Roman" w:cs="Times New Roman"/>
        </w:rPr>
        <w:t>4</w:t>
      </w:r>
      <w:r w:rsidRPr="00555E09">
        <w:rPr>
          <w:rFonts w:ascii="Times New Roman" w:hAnsi="Times New Roman" w:cs="Times New Roman"/>
        </w:rPr>
        <w:t xml:space="preserve"> and 202</w:t>
      </w:r>
      <w:r>
        <w:rPr>
          <w:rFonts w:ascii="Times New Roman" w:hAnsi="Times New Roman" w:cs="Times New Roman"/>
        </w:rPr>
        <w:t>4</w:t>
      </w:r>
      <w:r w:rsidRPr="00555E09">
        <w:rPr>
          <w:rFonts w:ascii="Times New Roman" w:hAnsi="Times New Roman" w:cs="Times New Roman"/>
        </w:rPr>
        <w:t>-2</w:t>
      </w:r>
      <w:r>
        <w:rPr>
          <w:rFonts w:ascii="Times New Roman" w:hAnsi="Times New Roman" w:cs="Times New Roman"/>
        </w:rPr>
        <w:t>5</w:t>
      </w:r>
      <w:r w:rsidRPr="00555E09">
        <w:rPr>
          <w:rFonts w:ascii="Times New Roman" w:hAnsi="Times New Roman" w:cs="Times New Roman"/>
        </w:rPr>
        <w:t xml:space="preserve"> academic years. </w:t>
      </w:r>
      <w:r w:rsidR="005700B3">
        <w:rPr>
          <w:rFonts w:ascii="Times New Roman" w:hAnsi="Times New Roman" w:cs="Times New Roman"/>
        </w:rPr>
        <w:t xml:space="preserve">ISD-level special education property tax rates are contained in annual </w:t>
      </w:r>
      <w:r w:rsidRPr="00555E09">
        <w:rPr>
          <w:rFonts w:ascii="Times New Roman" w:hAnsi="Times New Roman" w:cs="Times New Roman"/>
        </w:rPr>
        <w:t>Michigan State Aid Financial Status Reports</w:t>
      </w:r>
      <w:r w:rsidR="005700B3">
        <w:rPr>
          <w:rFonts w:ascii="Times New Roman" w:hAnsi="Times New Roman" w:cs="Times New Roman"/>
        </w:rPr>
        <w:t>, and I use these to identify all</w:t>
      </w:r>
      <w:r w:rsidRPr="00555E09">
        <w:rPr>
          <w:rFonts w:ascii="Times New Roman" w:hAnsi="Times New Roman" w:cs="Times New Roman"/>
        </w:rPr>
        <w:t xml:space="preserve"> ISD-level special education property taxes increases</w:t>
      </w:r>
      <w:r w:rsidR="005700B3">
        <w:rPr>
          <w:rFonts w:ascii="Times New Roman" w:hAnsi="Times New Roman" w:cs="Times New Roman"/>
        </w:rPr>
        <w:t>.</w:t>
      </w:r>
      <w:r w:rsidRPr="00555E09">
        <w:rPr>
          <w:rFonts w:ascii="Times New Roman" w:hAnsi="Times New Roman" w:cs="Times New Roman"/>
        </w:rPr>
        <w:t xml:space="preserve"> </w:t>
      </w:r>
      <w:r w:rsidR="008B65FE">
        <w:rPr>
          <w:rFonts w:ascii="Times New Roman" w:hAnsi="Times New Roman" w:cs="Times New Roman"/>
        </w:rPr>
        <w:t>In addition,</w:t>
      </w:r>
      <w:r w:rsidRPr="00555E09">
        <w:rPr>
          <w:rFonts w:ascii="Times New Roman" w:hAnsi="Times New Roman" w:cs="Times New Roman"/>
        </w:rPr>
        <w:t xml:space="preserve"> I cross-reference these with annual county-level property tax reports to confirm tax increases.</w:t>
      </w:r>
      <w:r w:rsidR="005700B3">
        <w:rPr>
          <w:rFonts w:ascii="Times New Roman" w:hAnsi="Times New Roman" w:cs="Times New Roman"/>
        </w:rPr>
        <w:t xml:space="preserve"> </w:t>
      </w:r>
      <w:r w:rsidR="005700B3" w:rsidRPr="005700B3">
        <w:rPr>
          <w:rFonts w:ascii="Times New Roman" w:hAnsi="Times New Roman" w:cs="Times New Roman"/>
        </w:rPr>
        <w:t>This implies that treatment is defined as an increase in property tax rates induced by a special education property tax election, and not only a property tax election itself.</w:t>
      </w:r>
    </w:p>
    <w:p w14:paraId="2A56A412" w14:textId="3A315898" w:rsidR="001026B7" w:rsidRDefault="001026B7" w:rsidP="001026B7">
      <w:pPr>
        <w:spacing w:after="0" w:line="480" w:lineRule="auto"/>
        <w:ind w:firstLine="720"/>
        <w:rPr>
          <w:rFonts w:ascii="Times New Roman" w:hAnsi="Times New Roman" w:cs="Times New Roman"/>
        </w:rPr>
      </w:pPr>
      <w:r w:rsidRPr="00555E09">
        <w:rPr>
          <w:rFonts w:ascii="Times New Roman" w:hAnsi="Times New Roman" w:cs="Times New Roman"/>
        </w:rPr>
        <w:lastRenderedPageBreak/>
        <w:t>In addition to these property tax rates, I leverage</w:t>
      </w:r>
      <w:r w:rsidR="005700B3">
        <w:rPr>
          <w:rFonts w:ascii="Times New Roman" w:hAnsi="Times New Roman" w:cs="Times New Roman"/>
        </w:rPr>
        <w:t xml:space="preserve"> ISD-level and school district-level financial</w:t>
      </w:r>
      <w:r w:rsidRPr="00555E09">
        <w:rPr>
          <w:rFonts w:ascii="Times New Roman" w:hAnsi="Times New Roman" w:cs="Times New Roman"/>
        </w:rPr>
        <w:t xml:space="preserve"> data from the Michigan Education Research Institute (MERI).</w:t>
      </w:r>
      <w:r w:rsidR="005700B3">
        <w:rPr>
          <w:rFonts w:ascii="Times New Roman" w:hAnsi="Times New Roman" w:cs="Times New Roman"/>
        </w:rPr>
        <w:t xml:space="preserve"> These datasets include entity-level revenue and expenditure data. Revenues are separated by their source (local, state, or federal) and their </w:t>
      </w:r>
      <w:r w:rsidR="008B65FE">
        <w:rPr>
          <w:rFonts w:ascii="Times New Roman" w:hAnsi="Times New Roman" w:cs="Times New Roman"/>
        </w:rPr>
        <w:t xml:space="preserve">intended </w:t>
      </w:r>
      <w:r w:rsidR="005700B3">
        <w:rPr>
          <w:rFonts w:ascii="Times New Roman" w:hAnsi="Times New Roman" w:cs="Times New Roman"/>
        </w:rPr>
        <w:t>function if the revenues are restricted, and I use these to isolate total earmarked revenues for special education and local property tax revenues for special education. In addition, expenditures are separated by their educational purpose including instruction or support functions, and special education comprises a subset of these expenditures for special education salaries, benefits, supplies, and purchased services. In addition, expenditure data include information on transfers of restricted revenues between entities, and I use these to isolate transfers of special education revenues from ISDs to local school districts.</w:t>
      </w:r>
    </w:p>
    <w:p w14:paraId="7158C927" w14:textId="22999861" w:rsidR="00227751" w:rsidRDefault="00227751" w:rsidP="00227751">
      <w:pPr>
        <w:spacing w:after="0" w:line="480" w:lineRule="auto"/>
        <w:ind w:firstLine="720"/>
        <w:rPr>
          <w:rFonts w:ascii="Times New Roman" w:hAnsi="Times New Roman" w:cs="Times New Roman"/>
        </w:rPr>
      </w:pPr>
      <w:r>
        <w:rPr>
          <w:rFonts w:ascii="Times New Roman" w:hAnsi="Times New Roman" w:cs="Times New Roman"/>
        </w:rPr>
        <w:t xml:space="preserve">I make two primary sample restrictions on the sample of ISDs. I observe re-treatment of ISDs during my sample period as old special education property taxes may expire prompting ISDs to adopt new property taxes. This leads to re-adoption of special education property taxes for some ISDs during my sample period. To account for this, I drop ISD-year observations in any </w:t>
      </w:r>
      <w:proofErr w:type="gramStart"/>
      <w:r>
        <w:rPr>
          <w:rFonts w:ascii="Times New Roman" w:hAnsi="Times New Roman" w:cs="Times New Roman"/>
        </w:rPr>
        <w:t>time period</w:t>
      </w:r>
      <w:proofErr w:type="gramEnd"/>
      <w:r>
        <w:rPr>
          <w:rFonts w:ascii="Times New Roman" w:hAnsi="Times New Roman" w:cs="Times New Roman"/>
        </w:rPr>
        <w:t xml:space="preserve"> after a secondary treatment. In addition, I drop all observations for one ISD that is fully operated by the State of Michigan. This ISD is funded by the state and has a different administrative structure relative to other ISDs in the state.</w:t>
      </w:r>
    </w:p>
    <w:p w14:paraId="0EE6FEFD" w14:textId="2FA4B0D1" w:rsidR="005700B3" w:rsidRPr="00555E09" w:rsidRDefault="005700B3" w:rsidP="001026B7">
      <w:pPr>
        <w:spacing w:after="0" w:line="480" w:lineRule="auto"/>
        <w:ind w:firstLine="720"/>
        <w:rPr>
          <w:rFonts w:ascii="Times New Roman" w:hAnsi="Times New Roman" w:cs="Times New Roman"/>
        </w:rPr>
      </w:pPr>
      <w:r>
        <w:rPr>
          <w:rFonts w:ascii="Times New Roman" w:hAnsi="Times New Roman" w:cs="Times New Roman"/>
        </w:rPr>
        <w:t xml:space="preserve">I also leverage student-level data </w:t>
      </w:r>
      <w:r w:rsidR="002A3202">
        <w:rPr>
          <w:rFonts w:ascii="Times New Roman" w:hAnsi="Times New Roman" w:cs="Times New Roman"/>
        </w:rPr>
        <w:t>from MERI between the 200</w:t>
      </w:r>
      <w:r w:rsidR="008B65FE">
        <w:rPr>
          <w:rFonts w:ascii="Times New Roman" w:hAnsi="Times New Roman" w:cs="Times New Roman"/>
        </w:rPr>
        <w:t>2</w:t>
      </w:r>
      <w:r w:rsidR="002A3202">
        <w:rPr>
          <w:rFonts w:ascii="Times New Roman" w:hAnsi="Times New Roman" w:cs="Times New Roman"/>
        </w:rPr>
        <w:t>-0</w:t>
      </w:r>
      <w:r w:rsidR="008B65FE">
        <w:rPr>
          <w:rFonts w:ascii="Times New Roman" w:hAnsi="Times New Roman" w:cs="Times New Roman"/>
        </w:rPr>
        <w:t>3</w:t>
      </w:r>
      <w:r w:rsidR="002A3202">
        <w:rPr>
          <w:rFonts w:ascii="Times New Roman" w:hAnsi="Times New Roman" w:cs="Times New Roman"/>
        </w:rPr>
        <w:t xml:space="preserve"> and 2024-25 academic years to identify student demographics and enrollment levels in each ISD and school district. These data contain each student’s school district and </w:t>
      </w:r>
      <w:r w:rsidR="008B65FE">
        <w:rPr>
          <w:rFonts w:ascii="Times New Roman" w:hAnsi="Times New Roman" w:cs="Times New Roman"/>
        </w:rPr>
        <w:t>I</w:t>
      </w:r>
      <w:r w:rsidR="002A3202">
        <w:rPr>
          <w:rFonts w:ascii="Times New Roman" w:hAnsi="Times New Roman" w:cs="Times New Roman"/>
        </w:rPr>
        <w:t xml:space="preserve">ntermediate </w:t>
      </w:r>
      <w:r w:rsidR="008B65FE">
        <w:rPr>
          <w:rFonts w:ascii="Times New Roman" w:hAnsi="Times New Roman" w:cs="Times New Roman"/>
        </w:rPr>
        <w:t>S</w:t>
      </w:r>
      <w:r w:rsidR="002A3202">
        <w:rPr>
          <w:rFonts w:ascii="Times New Roman" w:hAnsi="Times New Roman" w:cs="Times New Roman"/>
        </w:rPr>
        <w:t xml:space="preserve">chool </w:t>
      </w:r>
      <w:r w:rsidR="008B65FE">
        <w:rPr>
          <w:rFonts w:ascii="Times New Roman" w:hAnsi="Times New Roman" w:cs="Times New Roman"/>
        </w:rPr>
        <w:t>D</w:t>
      </w:r>
      <w:r w:rsidR="002A3202">
        <w:rPr>
          <w:rFonts w:ascii="Times New Roman" w:hAnsi="Times New Roman" w:cs="Times New Roman"/>
        </w:rPr>
        <w:t xml:space="preserve">istrict as well as their gender, race or ethnicity, English learner status, and their special education status. Using </w:t>
      </w:r>
      <w:r w:rsidR="002A3202">
        <w:rPr>
          <w:rFonts w:ascii="Times New Roman" w:hAnsi="Times New Roman" w:cs="Times New Roman"/>
        </w:rPr>
        <w:lastRenderedPageBreak/>
        <w:t xml:space="preserve">these data, I calculate the total </w:t>
      </w:r>
      <w:r w:rsidR="006D26D0">
        <w:rPr>
          <w:rFonts w:ascii="Times New Roman" w:hAnsi="Times New Roman" w:cs="Times New Roman"/>
        </w:rPr>
        <w:t>full-time</w:t>
      </w:r>
      <w:r w:rsidR="002A3202">
        <w:rPr>
          <w:rFonts w:ascii="Times New Roman" w:hAnsi="Times New Roman" w:cs="Times New Roman"/>
        </w:rPr>
        <w:t xml:space="preserve"> equivalency enrollment in entity in each academic year to convert revenues and expenditures to per pupil terms.</w:t>
      </w:r>
      <w:r w:rsidR="008B65FE">
        <w:rPr>
          <w:rStyle w:val="FootnoteReference"/>
          <w:rFonts w:ascii="Times New Roman" w:hAnsi="Times New Roman" w:cs="Times New Roman"/>
        </w:rPr>
        <w:footnoteReference w:id="13"/>
      </w:r>
    </w:p>
    <w:p w14:paraId="58E11523" w14:textId="19D934B1" w:rsidR="001026B7" w:rsidRPr="00555E09" w:rsidRDefault="001026B7" w:rsidP="001026B7">
      <w:pPr>
        <w:spacing w:after="0" w:line="480" w:lineRule="auto"/>
        <w:ind w:firstLine="720"/>
        <w:rPr>
          <w:rFonts w:ascii="Times New Roman" w:hAnsi="Times New Roman" w:cs="Times New Roman"/>
        </w:rPr>
      </w:pPr>
      <w:r w:rsidRPr="00555E09">
        <w:rPr>
          <w:rFonts w:ascii="Times New Roman" w:hAnsi="Times New Roman" w:cs="Times New Roman"/>
        </w:rPr>
        <w:t xml:space="preserve">Averages and standard </w:t>
      </w:r>
      <w:r w:rsidR="006D26D0">
        <w:rPr>
          <w:rFonts w:ascii="Times New Roman" w:hAnsi="Times New Roman" w:cs="Times New Roman"/>
        </w:rPr>
        <w:t>deviations</w:t>
      </w:r>
      <w:r w:rsidRPr="00555E09">
        <w:rPr>
          <w:rFonts w:ascii="Times New Roman" w:hAnsi="Times New Roman" w:cs="Times New Roman"/>
        </w:rPr>
        <w:t xml:space="preserve"> for ISD-level </w:t>
      </w:r>
      <w:r w:rsidR="005700B3">
        <w:rPr>
          <w:rFonts w:ascii="Times New Roman" w:hAnsi="Times New Roman" w:cs="Times New Roman"/>
        </w:rPr>
        <w:t>per pupil revenues and expenditures</w:t>
      </w:r>
      <w:r w:rsidRPr="00555E09">
        <w:rPr>
          <w:rFonts w:ascii="Times New Roman" w:hAnsi="Times New Roman" w:cs="Times New Roman"/>
        </w:rPr>
        <w:t xml:space="preserve"> are provided in Table </w:t>
      </w:r>
      <w:r w:rsidR="002A3202">
        <w:rPr>
          <w:rFonts w:ascii="Times New Roman" w:hAnsi="Times New Roman" w:cs="Times New Roman"/>
        </w:rPr>
        <w:t>1 separately for treated ISDs that experienced a property tax change during my sample period and control ISDs that did not</w:t>
      </w:r>
      <w:r w:rsidRPr="00555E09">
        <w:rPr>
          <w:rFonts w:ascii="Times New Roman" w:hAnsi="Times New Roman" w:cs="Times New Roman"/>
        </w:rPr>
        <w:t xml:space="preserve">. </w:t>
      </w:r>
      <w:r w:rsidR="002A3202">
        <w:rPr>
          <w:rFonts w:ascii="Times New Roman" w:hAnsi="Times New Roman" w:cs="Times New Roman"/>
        </w:rPr>
        <w:t xml:space="preserve">Total per pupil revenues are comprised of local, state, and federal revenues in the ISD divided by the </w:t>
      </w:r>
      <w:r w:rsidRPr="00555E09">
        <w:rPr>
          <w:rFonts w:ascii="Times New Roman" w:hAnsi="Times New Roman" w:cs="Times New Roman"/>
        </w:rPr>
        <w:t xml:space="preserve">total full-time equivalencies of all students in the ISD. </w:t>
      </w:r>
      <w:r w:rsidR="002A3202">
        <w:rPr>
          <w:rFonts w:ascii="Times New Roman" w:hAnsi="Times New Roman" w:cs="Times New Roman"/>
        </w:rPr>
        <w:t xml:space="preserve">Treated and control ISDs had very similar total revenue streams during my sample period. Earmarked revenues for special education represent a subset of these total revenues, and these are generated via local property taxes for special education, state aid, and federal aid. Treated ISDs generated approximately $150 more per pupil than control ISDs in earmarked special education revenues during my sample period, </w:t>
      </w:r>
      <w:r w:rsidR="00285065">
        <w:rPr>
          <w:rFonts w:ascii="Times New Roman" w:hAnsi="Times New Roman" w:cs="Times New Roman"/>
        </w:rPr>
        <w:t>and this is almost entirely driven by differences in local per pupil revenues.</w:t>
      </w:r>
      <w:r w:rsidR="002A3202">
        <w:rPr>
          <w:rFonts w:ascii="Times New Roman" w:hAnsi="Times New Roman" w:cs="Times New Roman"/>
        </w:rPr>
        <w:t xml:space="preserve"> </w:t>
      </w:r>
      <w:r w:rsidR="00285065">
        <w:rPr>
          <w:rFonts w:ascii="Times New Roman" w:hAnsi="Times New Roman" w:cs="Times New Roman"/>
        </w:rPr>
        <w:t>L</w:t>
      </w:r>
      <w:r w:rsidR="002A3202">
        <w:rPr>
          <w:rFonts w:ascii="Times New Roman" w:hAnsi="Times New Roman" w:cs="Times New Roman"/>
        </w:rPr>
        <w:t xml:space="preserve">ocal special education revenues constitute </w:t>
      </w:r>
      <w:r w:rsidR="00285065">
        <w:rPr>
          <w:rFonts w:ascii="Times New Roman" w:hAnsi="Times New Roman" w:cs="Times New Roman"/>
        </w:rPr>
        <w:t>approximately 42% and 47% of total special education revenues in control and treated ISDs, respectively.</w:t>
      </w:r>
    </w:p>
    <w:p w14:paraId="4DF4CE4F" w14:textId="77777777" w:rsidR="001026B7" w:rsidRPr="00555E09" w:rsidRDefault="001026B7" w:rsidP="001026B7">
      <w:pPr>
        <w:spacing w:after="0" w:line="480" w:lineRule="auto"/>
        <w:jc w:val="center"/>
        <w:rPr>
          <w:rFonts w:ascii="Times New Roman" w:hAnsi="Times New Roman" w:cs="Times New Roman"/>
        </w:rPr>
      </w:pPr>
      <w:r w:rsidRPr="00555E09">
        <w:rPr>
          <w:rFonts w:ascii="Times New Roman" w:hAnsi="Times New Roman" w:cs="Times New Roman"/>
        </w:rPr>
        <w:t>[Table 2 around here]</w:t>
      </w:r>
    </w:p>
    <w:p w14:paraId="19D2D8C3" w14:textId="1D836CB7" w:rsidR="00285065" w:rsidRDefault="00285065" w:rsidP="001026B7">
      <w:pPr>
        <w:spacing w:after="0" w:line="480" w:lineRule="auto"/>
        <w:ind w:firstLine="720"/>
        <w:rPr>
          <w:rFonts w:ascii="Times New Roman" w:hAnsi="Times New Roman" w:cs="Times New Roman"/>
        </w:rPr>
      </w:pPr>
      <w:r>
        <w:rPr>
          <w:rFonts w:ascii="Times New Roman" w:hAnsi="Times New Roman" w:cs="Times New Roman"/>
        </w:rPr>
        <w:t>Considering per pupil expenditures for special education, control ISDs spend $1,416 per pupil for special education relative to $1,437 in treated ISDs. Treated ISDs transfer approximately $150 more of this revenue to school districts on average, and they have higher average special education property tax rates as well.</w:t>
      </w:r>
      <w:r w:rsidR="00FB6094">
        <w:rPr>
          <w:rFonts w:ascii="Times New Roman" w:hAnsi="Times New Roman" w:cs="Times New Roman"/>
        </w:rPr>
        <w:t xml:space="preserve"> In addition, the average special education property tax increase is 0.61 mills among treated ISDs.</w:t>
      </w:r>
    </w:p>
    <w:p w14:paraId="70F569B2" w14:textId="52ADD0B5" w:rsidR="001026B7" w:rsidRPr="00555E09" w:rsidRDefault="001026B7" w:rsidP="001026B7">
      <w:pPr>
        <w:spacing w:after="0" w:line="480" w:lineRule="auto"/>
        <w:ind w:firstLine="720"/>
        <w:rPr>
          <w:rFonts w:ascii="Times New Roman" w:hAnsi="Times New Roman" w:cs="Times New Roman"/>
        </w:rPr>
      </w:pPr>
      <w:r>
        <w:rPr>
          <w:rFonts w:ascii="Times New Roman" w:hAnsi="Times New Roman" w:cs="Times New Roman"/>
        </w:rPr>
        <w:lastRenderedPageBreak/>
        <w:t xml:space="preserve">The lower panel of Table 1 presents </w:t>
      </w:r>
      <w:r w:rsidR="000E5EDE">
        <w:rPr>
          <w:rFonts w:ascii="Times New Roman" w:hAnsi="Times New Roman" w:cs="Times New Roman"/>
        </w:rPr>
        <w:t>averages and standard deviations for student demographic characteristics during my sample period</w:t>
      </w:r>
      <w:r>
        <w:rPr>
          <w:rFonts w:ascii="Times New Roman" w:hAnsi="Times New Roman" w:cs="Times New Roman"/>
        </w:rPr>
        <w:t xml:space="preserve">. Approximately half of Michigan students </w:t>
      </w:r>
      <w:r w:rsidR="000E5EDE">
        <w:rPr>
          <w:rFonts w:ascii="Times New Roman" w:hAnsi="Times New Roman" w:cs="Times New Roman"/>
        </w:rPr>
        <w:t>are women in my analytic sample</w:t>
      </w:r>
      <w:r>
        <w:rPr>
          <w:rFonts w:ascii="Times New Roman" w:hAnsi="Times New Roman" w:cs="Times New Roman"/>
        </w:rPr>
        <w:t xml:space="preserve">, and most Michigan students </w:t>
      </w:r>
      <w:r w:rsidR="000E5EDE">
        <w:rPr>
          <w:rFonts w:ascii="Times New Roman" w:hAnsi="Times New Roman" w:cs="Times New Roman"/>
        </w:rPr>
        <w:t>are</w:t>
      </w:r>
      <w:r>
        <w:rPr>
          <w:rFonts w:ascii="Times New Roman" w:hAnsi="Times New Roman" w:cs="Times New Roman"/>
        </w:rPr>
        <w:t xml:space="preserve"> White. 5</w:t>
      </w:r>
      <w:r w:rsidR="000E5EDE">
        <w:rPr>
          <w:rFonts w:ascii="Times New Roman" w:hAnsi="Times New Roman" w:cs="Times New Roman"/>
        </w:rPr>
        <w:t>1</w:t>
      </w:r>
      <w:r>
        <w:rPr>
          <w:rFonts w:ascii="Times New Roman" w:hAnsi="Times New Roman" w:cs="Times New Roman"/>
        </w:rPr>
        <w:t xml:space="preserve">% of Michigan students </w:t>
      </w:r>
      <w:r w:rsidR="000E5EDE">
        <w:rPr>
          <w:rFonts w:ascii="Times New Roman" w:hAnsi="Times New Roman" w:cs="Times New Roman"/>
        </w:rPr>
        <w:t>were</w:t>
      </w:r>
      <w:r>
        <w:rPr>
          <w:rFonts w:ascii="Times New Roman" w:hAnsi="Times New Roman" w:cs="Times New Roman"/>
        </w:rPr>
        <w:t xml:space="preserve"> identified as economically disadvantaged </w:t>
      </w:r>
      <w:r w:rsidR="000E5EDE">
        <w:rPr>
          <w:rFonts w:ascii="Times New Roman" w:hAnsi="Times New Roman" w:cs="Times New Roman"/>
        </w:rPr>
        <w:t>in control ISDs relative to 49% in treated ISDs</w:t>
      </w:r>
      <w:r>
        <w:rPr>
          <w:rFonts w:ascii="Times New Roman" w:hAnsi="Times New Roman" w:cs="Times New Roman"/>
        </w:rPr>
        <w:t>, and 1</w:t>
      </w:r>
      <w:r w:rsidR="000E5EDE">
        <w:rPr>
          <w:rFonts w:ascii="Times New Roman" w:hAnsi="Times New Roman" w:cs="Times New Roman"/>
        </w:rPr>
        <w:t>7</w:t>
      </w:r>
      <w:r>
        <w:rPr>
          <w:rFonts w:ascii="Times New Roman" w:hAnsi="Times New Roman" w:cs="Times New Roman"/>
        </w:rPr>
        <w:t>% of Michigan students were identified as students with disabilities</w:t>
      </w:r>
      <w:r w:rsidR="000E5EDE">
        <w:rPr>
          <w:rFonts w:ascii="Times New Roman" w:hAnsi="Times New Roman" w:cs="Times New Roman"/>
        </w:rPr>
        <w:t xml:space="preserve"> in both treated and control ISDs</w:t>
      </w:r>
      <w:r>
        <w:rPr>
          <w:rFonts w:ascii="Times New Roman" w:hAnsi="Times New Roman" w:cs="Times New Roman"/>
        </w:rPr>
        <w:t>.</w:t>
      </w:r>
    </w:p>
    <w:p w14:paraId="0E1B1CCF" w14:textId="04D96E20" w:rsidR="00BB0D36" w:rsidRPr="00555E09" w:rsidRDefault="00555E09" w:rsidP="00555E09">
      <w:pPr>
        <w:spacing w:after="0" w:line="480" w:lineRule="auto"/>
        <w:rPr>
          <w:rFonts w:ascii="Times New Roman" w:hAnsi="Times New Roman" w:cs="Times New Roman"/>
          <w:b/>
          <w:bCs/>
        </w:rPr>
      </w:pPr>
      <w:r>
        <w:rPr>
          <w:rFonts w:ascii="Times New Roman" w:hAnsi="Times New Roman" w:cs="Times New Roman"/>
          <w:b/>
          <w:bCs/>
        </w:rPr>
        <w:t>Methods</w:t>
      </w:r>
    </w:p>
    <w:p w14:paraId="13EC7008" w14:textId="77777777" w:rsidR="00CE161C" w:rsidRDefault="00BF16F5" w:rsidP="00CE161C">
      <w:pPr>
        <w:spacing w:after="0" w:line="480" w:lineRule="auto"/>
        <w:ind w:firstLine="720"/>
        <w:rPr>
          <w:rFonts w:ascii="Times New Roman" w:hAnsi="Times New Roman" w:cs="Times New Roman"/>
        </w:rPr>
      </w:pPr>
      <w:r w:rsidRPr="00555E09">
        <w:rPr>
          <w:rFonts w:ascii="Times New Roman" w:hAnsi="Times New Roman" w:cs="Times New Roman"/>
        </w:rPr>
        <w:t xml:space="preserve">Although a regression discontinuity analysis of close elections is common in this context, this type of analysis </w:t>
      </w:r>
      <w:r>
        <w:rPr>
          <w:rFonts w:ascii="Times New Roman" w:hAnsi="Times New Roman" w:cs="Times New Roman"/>
        </w:rPr>
        <w:t xml:space="preserve">is </w:t>
      </w:r>
      <w:r w:rsidRPr="00555E09">
        <w:rPr>
          <w:rFonts w:ascii="Times New Roman" w:hAnsi="Times New Roman" w:cs="Times New Roman"/>
        </w:rPr>
        <w:t>infeasible in my sample. I only observe 10 failures of a special education property tax during my sample period</w:t>
      </w:r>
      <w:r>
        <w:rPr>
          <w:rFonts w:ascii="Times New Roman" w:hAnsi="Times New Roman" w:cs="Times New Roman"/>
        </w:rPr>
        <w:t>, and t</w:t>
      </w:r>
      <w:r w:rsidRPr="00555E09">
        <w:rPr>
          <w:rFonts w:ascii="Times New Roman" w:hAnsi="Times New Roman" w:cs="Times New Roman"/>
        </w:rPr>
        <w:t>his small number makes an analysis of close passes and fails difficult. Further, ISDs that fail a property tax will typically place another property tax on the ballot in the next election cycle. This implies that even if voters fail a property tax</w:t>
      </w:r>
      <w:r w:rsidR="0005466F">
        <w:rPr>
          <w:rFonts w:ascii="Times New Roman" w:hAnsi="Times New Roman" w:cs="Times New Roman"/>
        </w:rPr>
        <w:t xml:space="preserve"> and their ISD remains untreated</w:t>
      </w:r>
      <w:r w:rsidRPr="00555E09">
        <w:rPr>
          <w:rFonts w:ascii="Times New Roman" w:hAnsi="Times New Roman" w:cs="Times New Roman"/>
        </w:rPr>
        <w:t xml:space="preserve">, their ISD will likely become treated in a subsequent year. </w:t>
      </w:r>
    </w:p>
    <w:p w14:paraId="487B0B6D" w14:textId="719FAFCE" w:rsidR="00BB0D36" w:rsidRPr="00555E09" w:rsidRDefault="00BF16F5" w:rsidP="00CE161C">
      <w:pPr>
        <w:spacing w:after="0" w:line="480" w:lineRule="auto"/>
        <w:ind w:firstLine="720"/>
        <w:rPr>
          <w:rFonts w:ascii="Times New Roman" w:hAnsi="Times New Roman" w:cs="Times New Roman"/>
        </w:rPr>
      </w:pPr>
      <w:r w:rsidRPr="00555E09">
        <w:rPr>
          <w:rFonts w:ascii="Times New Roman" w:hAnsi="Times New Roman" w:cs="Times New Roman"/>
        </w:rPr>
        <w:t>Rather than compare outcomes of ISDs with close elections, my estimation strategy compare</w:t>
      </w:r>
      <w:r>
        <w:rPr>
          <w:rFonts w:ascii="Times New Roman" w:hAnsi="Times New Roman" w:cs="Times New Roman"/>
        </w:rPr>
        <w:t>s</w:t>
      </w:r>
      <w:r w:rsidRPr="00555E09">
        <w:rPr>
          <w:rFonts w:ascii="Times New Roman" w:hAnsi="Times New Roman" w:cs="Times New Roman"/>
        </w:rPr>
        <w:t xml:space="preserve"> early adopters of this policy with later adopters. </w:t>
      </w:r>
      <w:r w:rsidR="00CE161C">
        <w:rPr>
          <w:rFonts w:ascii="Times New Roman" w:hAnsi="Times New Roman" w:cs="Times New Roman"/>
        </w:rPr>
        <w:t xml:space="preserve">Using a staggered difference-in-differences approach, </w:t>
      </w:r>
      <w:r w:rsidR="00BB0D36" w:rsidRPr="00555E09">
        <w:rPr>
          <w:rFonts w:ascii="Times New Roman" w:hAnsi="Times New Roman" w:cs="Times New Roman"/>
        </w:rPr>
        <w:t>I estimate</w:t>
      </w:r>
      <w:r w:rsidR="001B7C22">
        <w:rPr>
          <w:rFonts w:ascii="Times New Roman" w:hAnsi="Times New Roman" w:cs="Times New Roman"/>
        </w:rPr>
        <w:t xml:space="preserve"> modified </w:t>
      </w:r>
      <w:r w:rsidR="00BB0D36" w:rsidRPr="00555E09">
        <w:rPr>
          <w:rFonts w:ascii="Times New Roman" w:hAnsi="Times New Roman" w:cs="Times New Roman"/>
        </w:rPr>
        <w:t>extended two</w:t>
      </w:r>
      <w:r w:rsidR="00A96472">
        <w:rPr>
          <w:rFonts w:ascii="Times New Roman" w:hAnsi="Times New Roman" w:cs="Times New Roman"/>
        </w:rPr>
        <w:t>-</w:t>
      </w:r>
      <w:r w:rsidR="00BB0D36" w:rsidRPr="00555E09">
        <w:rPr>
          <w:rFonts w:ascii="Times New Roman" w:hAnsi="Times New Roman" w:cs="Times New Roman"/>
        </w:rPr>
        <w:t xml:space="preserve">way fixed effect (ETWFE) models for </w:t>
      </w:r>
      <w:r w:rsidR="0070690A">
        <w:rPr>
          <w:rFonts w:ascii="Times New Roman" w:hAnsi="Times New Roman" w:cs="Times New Roman"/>
        </w:rPr>
        <w:t xml:space="preserve">the panel </w:t>
      </w:r>
      <w:r w:rsidR="00BB0D36" w:rsidRPr="00555E09">
        <w:rPr>
          <w:rFonts w:ascii="Times New Roman" w:hAnsi="Times New Roman" w:cs="Times New Roman"/>
        </w:rPr>
        <w:t xml:space="preserve">of </w:t>
      </w:r>
      <w:r w:rsidR="0070690A">
        <w:rPr>
          <w:rFonts w:ascii="Times New Roman" w:hAnsi="Times New Roman" w:cs="Times New Roman"/>
        </w:rPr>
        <w:t xml:space="preserve">Michigan </w:t>
      </w:r>
      <w:r w:rsidR="00BB0D36" w:rsidRPr="00555E09">
        <w:rPr>
          <w:rFonts w:ascii="Times New Roman" w:hAnsi="Times New Roman" w:cs="Times New Roman"/>
        </w:rPr>
        <w:t>ISD</w:t>
      </w:r>
      <w:r w:rsidR="0070690A">
        <w:rPr>
          <w:rFonts w:ascii="Times New Roman" w:hAnsi="Times New Roman" w:cs="Times New Roman"/>
        </w:rPr>
        <w:t>s</w:t>
      </w:r>
      <w:r w:rsidR="001B7C22">
        <w:rPr>
          <w:rFonts w:ascii="Times New Roman" w:hAnsi="Times New Roman" w:cs="Times New Roman"/>
        </w:rPr>
        <w:t xml:space="preserve"> following Wooldridge (2025)</w:t>
      </w:r>
      <w:r w:rsidR="00BB0D36" w:rsidRPr="00555E09">
        <w:rPr>
          <w:rFonts w:ascii="Times New Roman" w:hAnsi="Times New Roman" w:cs="Times New Roman"/>
        </w:rPr>
        <w:t xml:space="preserve">. </w:t>
      </w:r>
      <w:r w:rsidR="001B7C22">
        <w:rPr>
          <w:rFonts w:ascii="Times New Roman" w:hAnsi="Times New Roman" w:cs="Times New Roman"/>
        </w:rPr>
        <w:t xml:space="preserve">Given my sample size, I make several restrictions from the fully saturated model, and I also modify the estimating equation to account for the continuous nature of the treatment. </w:t>
      </w:r>
      <w:r w:rsidR="0070690A">
        <w:rPr>
          <w:rFonts w:ascii="Times New Roman" w:hAnsi="Times New Roman" w:cs="Times New Roman"/>
        </w:rPr>
        <w:t xml:space="preserve">My main estimating equation takes the </w:t>
      </w:r>
      <w:r w:rsidR="00BB0D36" w:rsidRPr="00555E09">
        <w:rPr>
          <w:rFonts w:ascii="Times New Roman" w:hAnsi="Times New Roman" w:cs="Times New Roman"/>
        </w:rPr>
        <w:t>following form:</w:t>
      </w:r>
      <w:r w:rsidR="00A3605F">
        <w:rPr>
          <w:rStyle w:val="FootnoteReference"/>
          <w:rFonts w:ascii="Times New Roman" w:hAnsi="Times New Roman" w:cs="Times New Roman"/>
        </w:rPr>
        <w:footnoteReference w:id="14"/>
      </w:r>
    </w:p>
    <w:p w14:paraId="6359FB12" w14:textId="002AE8A6" w:rsidR="0070690A" w:rsidRDefault="00000000" w:rsidP="00555E09">
      <w:pPr>
        <w:spacing w:after="0"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nary>
            <m:naryPr>
              <m:chr m:val="∑"/>
              <m:supHide m:val="1"/>
              <m:ctrlPr>
                <w:rPr>
                  <w:rFonts w:ascii="Cambria Math" w:hAnsi="Cambria Math" w:cs="Times New Roman"/>
                  <w:i/>
                </w:rPr>
              </m:ctrlPr>
            </m:naryPr>
            <m:sub>
              <m:r>
                <w:rPr>
                  <w:rFonts w:ascii="Cambria Math" w:hAnsi="Cambria Math" w:cs="Times New Roman"/>
                </w:rPr>
                <m:t>g</m:t>
              </m:r>
            </m:sub>
            <m:sup/>
            <m:e>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g</m:t>
                  </m:r>
                </m:sub>
              </m:sSub>
              <m:r>
                <w:rPr>
                  <w:rFonts w:ascii="Cambria Math" w:hAnsi="Cambria Math" w:cs="Times New Roman"/>
                </w:rPr>
                <m:t>Cohor</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m:t>
                  </m:r>
                </m:sub>
              </m:sSub>
              <m:r>
                <w:rPr>
                  <w:rFonts w:ascii="Cambria Math" w:hAnsi="Cambria Math" w:cs="Times New Roman"/>
                </w:rPr>
                <m:t>×f</m:t>
              </m:r>
              <m:d>
                <m:dPr>
                  <m:ctrlPr>
                    <w:rPr>
                      <w:rFonts w:ascii="Cambria Math" w:hAnsi="Cambria Math" w:cs="Times New Roman"/>
                      <w:i/>
                    </w:rPr>
                  </m:ctrlPr>
                </m:dPr>
                <m:e>
                  <m:r>
                    <w:rPr>
                      <w:rFonts w:ascii="Cambria Math" w:hAnsi="Cambria Math" w:cs="Times New Roman"/>
                    </w:rPr>
                    <m:t>TaxIncreas</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it</m:t>
                      </m:r>
                    </m:sub>
                  </m:sSub>
                </m:e>
              </m:d>
              <m:r>
                <w:rPr>
                  <w:rFonts w:ascii="Cambria Math" w:hAnsi="Cambria Math" w:cs="Times New Roman"/>
                </w:rPr>
                <m:t>+</m:t>
              </m:r>
              <m:sSub>
                <m:sSubPr>
                  <m:ctrlPr>
                    <w:rPr>
                      <w:rFonts w:ascii="Cambria Math" w:hAnsi="Cambria Math" w:cs="Times New Roman"/>
                      <w:i/>
                    </w:rPr>
                  </m:ctrlPr>
                </m:sSubPr>
                <m:e>
                  <m:r>
                    <m:rPr>
                      <m:sty m:val="b"/>
                    </m:rPr>
                    <w:rPr>
                      <w:rFonts w:ascii="Cambria Math" w:hAnsi="Cambria Math" w:cs="Times New Roman"/>
                    </w:rPr>
                    <m:t>Ω</m:t>
                  </m:r>
                  <m:sSub>
                    <m:sSubPr>
                      <m:ctrlPr>
                        <w:rPr>
                          <w:rFonts w:ascii="Cambria Math" w:hAnsi="Cambria Math" w:cs="Times New Roman"/>
                          <w:i/>
                        </w:rPr>
                      </m:ctrlPr>
                    </m:sSubPr>
                    <m:e>
                      <m:r>
                        <m:rPr>
                          <m:sty m:val="bi"/>
                        </m:rPr>
                        <w:rPr>
                          <w:rFonts w:ascii="Cambria Math" w:hAnsi="Cambria Math" w:cs="Times New Roman"/>
                        </w:rPr>
                        <m:t>X</m:t>
                      </m:r>
                    </m:e>
                    <m:sub>
                      <m:r>
                        <w:rPr>
                          <w:rFonts w:ascii="Cambria Math" w:hAnsi="Cambria Math" w:cs="Times New Roman"/>
                        </w:rPr>
                        <m:t>it</m:t>
                      </m:r>
                    </m:sub>
                  </m:sSub>
                  <m:r>
                    <w:rPr>
                      <w:rFonts w:ascii="Cambria Math" w:hAnsi="Cambria Math" w:cs="Times New Roman"/>
                    </w:rPr>
                    <m:t>+α</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e>
          </m:nary>
        </m:oMath>
      </m:oMathPara>
    </w:p>
    <w:p w14:paraId="3322FB6F" w14:textId="4A8785B3" w:rsidR="00BB0D36" w:rsidRDefault="00BB0D36" w:rsidP="00555E09">
      <w:pPr>
        <w:spacing w:after="0" w:line="480" w:lineRule="auto"/>
        <w:rPr>
          <w:rFonts w:ascii="Times New Roman" w:hAnsi="Times New Roman" w:cs="Times New Roman"/>
        </w:rPr>
      </w:pPr>
      <w:r w:rsidRPr="00555E09">
        <w:rPr>
          <w:rFonts w:ascii="Times New Roman" w:hAnsi="Times New Roman" w:cs="Times New Roman"/>
        </w:rPr>
        <w:lastRenderedPageBreak/>
        <w:t xml:space="preserve">For each ISD </w:t>
      </w:r>
      <m:oMath>
        <m:r>
          <w:rPr>
            <w:rFonts w:ascii="Cambria Math" w:hAnsi="Cambria Math" w:cs="Times New Roman"/>
          </w:rPr>
          <m:t>i</m:t>
        </m:r>
      </m:oMath>
      <w:r w:rsidRPr="00555E09">
        <w:rPr>
          <w:rFonts w:ascii="Times New Roman" w:hAnsi="Times New Roman" w:cs="Times New Roman"/>
        </w:rPr>
        <w:t xml:space="preserve"> in each year </w:t>
      </w:r>
      <m:oMath>
        <m:r>
          <w:rPr>
            <w:rFonts w:ascii="Cambria Math" w:hAnsi="Cambria Math" w:cs="Times New Roman"/>
          </w:rPr>
          <m:t>t</m:t>
        </m:r>
      </m:oMath>
      <w:r w:rsidRPr="00555E09">
        <w:rPr>
          <w:rFonts w:ascii="Times New Roman" w:hAnsi="Times New Roman" w:cs="Times New Roman"/>
        </w:rPr>
        <w:t>,</w:t>
      </w:r>
      <w:r w:rsidR="001B7C22">
        <w:rPr>
          <w:rFonts w:ascii="Times New Roman" w:hAnsi="Times New Roman" w:cs="Times New Roman"/>
        </w:rPr>
        <w:t xml:space="preserve"> </w:t>
      </w:r>
      <m:oMath>
        <m:r>
          <w:rPr>
            <w:rFonts w:ascii="Cambria Math" w:hAnsi="Cambria Math" w:cs="Times New Roman"/>
          </w:rPr>
          <m:t>Cohort</m:t>
        </m:r>
      </m:oMath>
      <w:r w:rsidRPr="00555E09">
        <w:rPr>
          <w:rFonts w:ascii="Times New Roman" w:hAnsi="Times New Roman" w:cs="Times New Roman"/>
        </w:rPr>
        <w:t xml:space="preserve"> </w:t>
      </w:r>
      <w:r w:rsidR="001B7C22">
        <w:rPr>
          <w:rFonts w:ascii="Times New Roman" w:hAnsi="Times New Roman" w:cs="Times New Roman"/>
        </w:rPr>
        <w:t xml:space="preserve">represents a constant indicator for the first year in which an ISD becomes treated, </w:t>
      </w:r>
      <m:oMath>
        <m:r>
          <w:rPr>
            <w:rFonts w:ascii="Cambria Math" w:hAnsi="Cambria Math" w:cs="Times New Roman"/>
          </w:rPr>
          <m:t>TaxIncrease</m:t>
        </m:r>
      </m:oMath>
      <w:r w:rsidR="001B7C22">
        <w:rPr>
          <w:rFonts w:ascii="Times New Roman" w:eastAsiaTheme="minorEastAsia" w:hAnsi="Times New Roman" w:cs="Times New Roman"/>
        </w:rPr>
        <w:t xml:space="preserve"> represents a time-varying treatment variable equal to 0 in years before treatment and equal to millage change that takes effect when the ISD becomes treated, </w:t>
      </w:r>
      <m:oMath>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X</m:t>
            </m:r>
          </m:e>
          <m:sub>
            <m:r>
              <w:rPr>
                <w:rFonts w:ascii="Cambria Math" w:eastAsiaTheme="minorEastAsia" w:hAnsi="Cambria Math" w:cs="Times New Roman"/>
              </w:rPr>
              <m:t>it</m:t>
            </m:r>
          </m:sub>
        </m:sSub>
      </m:oMath>
      <w:r w:rsidR="001B7C22">
        <w:rPr>
          <w:rFonts w:ascii="Times New Roman" w:eastAsiaTheme="minorEastAsia" w:hAnsi="Times New Roman" w:cs="Times New Roman"/>
          <w:b/>
          <w:bCs/>
        </w:rPr>
        <w:t xml:space="preserve"> </w:t>
      </w:r>
      <w:r w:rsidR="001B7C22" w:rsidRPr="001B7C22">
        <w:rPr>
          <w:rFonts w:ascii="Times New Roman" w:eastAsiaTheme="minorEastAsia" w:hAnsi="Times New Roman" w:cs="Times New Roman"/>
        </w:rPr>
        <w:t>represents</w:t>
      </w:r>
      <w:r w:rsidR="001B7C22">
        <w:rPr>
          <w:rFonts w:ascii="Times New Roman" w:eastAsiaTheme="minorEastAsia" w:hAnsi="Times New Roman" w:cs="Times New Roman"/>
        </w:rPr>
        <w:t xml:space="preserve"> a vector of time-varying, ISD-level covariates, </w:t>
      </w:r>
      <m:oMath>
        <m:sSub>
          <m:sSubPr>
            <m:ctrlPr>
              <w:rPr>
                <w:rFonts w:ascii="Cambria Math" w:eastAsiaTheme="minorEastAsia" w:hAnsi="Cambria Math" w:cs="Times New Roman"/>
                <w:i/>
              </w:rPr>
            </m:ctrlPr>
          </m:sSubPr>
          <m:e>
            <m:r>
              <w:rPr>
                <w:rFonts w:ascii="Cambria Math" w:eastAsiaTheme="minorEastAsia" w:hAnsi="Cambria Math" w:cs="Times New Roman"/>
              </w:rPr>
              <m:t>α</m:t>
            </m:r>
          </m:e>
          <m:sub>
            <m:r>
              <w:rPr>
                <w:rFonts w:ascii="Cambria Math" w:eastAsiaTheme="minorEastAsia" w:hAnsi="Cambria Math" w:cs="Times New Roman"/>
              </w:rPr>
              <m:t>i</m:t>
            </m:r>
          </m:sub>
        </m:sSub>
      </m:oMath>
      <w:r w:rsidR="001B7C22">
        <w:rPr>
          <w:rFonts w:ascii="Times New Roman" w:eastAsiaTheme="minorEastAsia" w:hAnsi="Times New Roman" w:cs="Times New Roman"/>
        </w:rPr>
        <w:t xml:space="preserve"> represents an ISD-level fixed effect, </w:t>
      </w:r>
      <m:oMath>
        <m:sSub>
          <m:sSubPr>
            <m:ctrlPr>
              <w:rPr>
                <w:rFonts w:ascii="Cambria Math" w:eastAsiaTheme="minorEastAsia" w:hAnsi="Cambria Math" w:cs="Times New Roman"/>
                <w:i/>
              </w:rPr>
            </m:ctrlPr>
          </m:sSubPr>
          <m:e>
            <m:r>
              <w:rPr>
                <w:rFonts w:ascii="Cambria Math" w:eastAsiaTheme="minorEastAsia" w:hAnsi="Cambria Math" w:cs="Times New Roman"/>
              </w:rPr>
              <m:t>δ</m:t>
            </m:r>
          </m:e>
          <m:sub>
            <m:r>
              <w:rPr>
                <w:rFonts w:ascii="Cambria Math" w:eastAsiaTheme="minorEastAsia" w:hAnsi="Cambria Math" w:cs="Times New Roman"/>
              </w:rPr>
              <m:t>t</m:t>
            </m:r>
          </m:sub>
        </m:sSub>
      </m:oMath>
      <w:r w:rsidR="001B7C22">
        <w:rPr>
          <w:rFonts w:ascii="Times New Roman" w:eastAsiaTheme="minorEastAsia" w:hAnsi="Times New Roman" w:cs="Times New Roman"/>
        </w:rPr>
        <w:t xml:space="preserve"> represents a year fixed effect</w:t>
      </w:r>
      <w:r w:rsidR="008B65FE">
        <w:rPr>
          <w:rFonts w:ascii="Times New Roman" w:eastAsiaTheme="minorEastAsia" w:hAnsi="Times New Roman" w:cs="Times New Roman"/>
        </w:rPr>
        <w:t xml:space="preserve">, and </w:t>
      </w:r>
      <m:oMath>
        <m:r>
          <w:rPr>
            <w:rFonts w:ascii="Cambria Math" w:eastAsiaTheme="minorEastAsia" w:hAnsi="Cambria Math" w:cs="Times New Roman"/>
          </w:rPr>
          <m:t>ε</m:t>
        </m:r>
      </m:oMath>
      <w:r w:rsidR="008B65FE">
        <w:rPr>
          <w:rFonts w:ascii="Times New Roman" w:eastAsiaTheme="minorEastAsia" w:hAnsi="Times New Roman" w:cs="Times New Roman"/>
        </w:rPr>
        <w:t xml:space="preserve"> represents a normally distributed error term</w:t>
      </w:r>
      <w:r w:rsidR="001B7C22">
        <w:rPr>
          <w:rFonts w:ascii="Times New Roman" w:eastAsiaTheme="minorEastAsia" w:hAnsi="Times New Roman" w:cs="Times New Roman"/>
        </w:rPr>
        <w:t>.</w:t>
      </w:r>
    </w:p>
    <w:p w14:paraId="4381F1C8" w14:textId="71CA6CAE" w:rsidR="001026B7" w:rsidRDefault="001B7C22" w:rsidP="00555E09">
      <w:pPr>
        <w:spacing w:after="0" w:line="480" w:lineRule="auto"/>
        <w:rPr>
          <w:rFonts w:ascii="Times New Roman" w:eastAsiaTheme="minorEastAsia" w:hAnsi="Times New Roman" w:cs="Times New Roman"/>
        </w:rPr>
      </w:pPr>
      <w:r>
        <w:rPr>
          <w:rFonts w:ascii="Times New Roman" w:hAnsi="Times New Roman" w:cs="Times New Roman"/>
        </w:rPr>
        <w:tab/>
        <w:t xml:space="preserve">In this model, I explicitly account for staggered adoption </w:t>
      </w:r>
      <w:r w:rsidR="00EF3B32">
        <w:rPr>
          <w:rFonts w:ascii="Times New Roman" w:hAnsi="Times New Roman" w:cs="Times New Roman"/>
        </w:rPr>
        <w:t xml:space="preserve">by interacting my continuous treatment variable with indicators for each cohort of treated ISDs. This yields cohort-specific estimates of the effects of increasing property taxes, and I aggregate these estimates taking the weighted average where weights are defined by the number of treated units in each cohort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00A3605F">
        <w:rPr>
          <w:rFonts w:ascii="Times New Roman" w:eastAsiaTheme="minorEastAsia" w:hAnsi="Times New Roman" w:cs="Times New Roman"/>
        </w:rPr>
        <w:t xml:space="preserve"> </w:t>
      </w:r>
      <w:r w:rsidR="00EF3B32">
        <w:rPr>
          <w:rFonts w:ascii="Times New Roman" w:hAnsi="Times New Roman" w:cs="Times New Roman"/>
        </w:rPr>
        <w:t>divided by the total number of treated units</w:t>
      </w:r>
      <w:r w:rsidR="00A3605F">
        <w:rPr>
          <w:rFonts w:ascii="Times New Roman" w:hAnsi="Times New Roman" w:cs="Times New Roman"/>
        </w:rPr>
        <w:t xml:space="preserve"> </w:t>
      </w:r>
      <m:oMath>
        <m:r>
          <w:rPr>
            <w:rFonts w:ascii="Cambria Math" w:hAnsi="Cambria Math" w:cs="Times New Roman"/>
          </w:rPr>
          <m:t>N</m:t>
        </m:r>
      </m:oMath>
      <w:r w:rsidR="00EF3B32">
        <w:rPr>
          <w:rFonts w:ascii="Times New Roman" w:hAnsi="Times New Roman" w:cs="Times New Roman"/>
        </w:rPr>
        <w:t>.</w:t>
      </w:r>
      <w:r w:rsidR="008B65FE">
        <w:rPr>
          <w:rStyle w:val="FootnoteReference"/>
          <w:rFonts w:ascii="Times New Roman" w:hAnsi="Times New Roman" w:cs="Times New Roman"/>
        </w:rPr>
        <w:footnoteReference w:id="15"/>
      </w:r>
      <w:r w:rsidR="00A3605F" w:rsidRPr="00194098">
        <w:rPr>
          <w:rFonts w:ascii="Times New Roman" w:eastAsiaTheme="minorEastAsia" w:hAnsi="Times New Roman" w:cs="Times New Roman"/>
        </w:rPr>
        <w:t>:</w:t>
      </w:r>
    </w:p>
    <w:p w14:paraId="7B4A0D20" w14:textId="104FDC14" w:rsidR="001B7C22" w:rsidRDefault="00EF3B32" w:rsidP="001026B7">
      <w:pPr>
        <w:spacing w:after="0" w:line="480" w:lineRule="auto"/>
        <w:ind w:firstLine="720"/>
        <w:rPr>
          <w:rFonts w:ascii="Times New Roman" w:hAnsi="Times New Roman" w:cs="Times New Roman"/>
        </w:rPr>
      </w:pPr>
      <w:r>
        <w:rPr>
          <w:rFonts w:ascii="Times New Roman" w:hAnsi="Times New Roman" w:cs="Times New Roman"/>
        </w:rPr>
        <w:t>As a result of my sample size, I restrict treatment heterogeneity by not interacting the treatment variable with covariates, and I also do not interact covariates with unit or time fixed effects. I relax some of these restrictions in robustness checks, and they do not affect the estimates.</w:t>
      </w:r>
    </w:p>
    <w:p w14:paraId="2D087E36" w14:textId="5C1D439D" w:rsidR="001026B7" w:rsidRDefault="001026B7" w:rsidP="008B65FE">
      <w:pPr>
        <w:spacing w:after="0" w:line="480" w:lineRule="auto"/>
        <w:ind w:firstLine="720"/>
        <w:rPr>
          <w:rFonts w:ascii="Times New Roman" w:hAnsi="Times New Roman" w:cs="Times New Roman"/>
        </w:rPr>
      </w:pPr>
      <w:r>
        <w:rPr>
          <w:rFonts w:ascii="Times New Roman" w:hAnsi="Times New Roman" w:cs="Times New Roman"/>
        </w:rPr>
        <w:t xml:space="preserve">In addition to the restricted version of </w:t>
      </w:r>
      <w:r w:rsidR="008B65FE">
        <w:rPr>
          <w:rFonts w:ascii="Times New Roman" w:hAnsi="Times New Roman" w:cs="Times New Roman"/>
        </w:rPr>
        <w:t>Wooldridge (2025)’s</w:t>
      </w:r>
      <w:r>
        <w:rPr>
          <w:rFonts w:ascii="Times New Roman" w:hAnsi="Times New Roman" w:cs="Times New Roman"/>
        </w:rPr>
        <w:t xml:space="preserve"> ETWFE model, I also extend this model to incorporate a continuous treatment indicator </w:t>
      </w:r>
      <w:r w:rsidR="008B65FE">
        <w:rPr>
          <w:rFonts w:ascii="Times New Roman" w:hAnsi="Times New Roman" w:cs="Times New Roman"/>
        </w:rPr>
        <w:t>(</w:t>
      </w:r>
      <w:r>
        <w:rPr>
          <w:rFonts w:ascii="Times New Roman" w:hAnsi="Times New Roman" w:cs="Times New Roman"/>
        </w:rPr>
        <w:t>Callaway &amp; Sant’anna</w:t>
      </w:r>
      <w:r w:rsidR="005A3B1E">
        <w:rPr>
          <w:rFonts w:ascii="Times New Roman" w:hAnsi="Times New Roman" w:cs="Times New Roman"/>
        </w:rPr>
        <w:t>,</w:t>
      </w:r>
      <w:r w:rsidR="008B65FE">
        <w:rPr>
          <w:rFonts w:ascii="Times New Roman" w:hAnsi="Times New Roman" w:cs="Times New Roman"/>
        </w:rPr>
        <w:t xml:space="preserve"> </w:t>
      </w:r>
      <w:r>
        <w:rPr>
          <w:rFonts w:ascii="Times New Roman" w:hAnsi="Times New Roman" w:cs="Times New Roman"/>
        </w:rPr>
        <w:t>2024)</w:t>
      </w:r>
      <w:r w:rsidR="008B65FE">
        <w:rPr>
          <w:rFonts w:ascii="Times New Roman" w:hAnsi="Times New Roman" w:cs="Times New Roman"/>
        </w:rPr>
        <w:t xml:space="preserve">. </w:t>
      </w:r>
      <w:r>
        <w:rPr>
          <w:rFonts w:ascii="Times New Roman" w:hAnsi="Times New Roman" w:cs="Times New Roman"/>
        </w:rPr>
        <w:t>To account for this, I test linear and quadratic functional forms</w:t>
      </w:r>
      <w:r w:rsidR="008B65FE">
        <w:rPr>
          <w:rFonts w:ascii="Times New Roman" w:hAnsi="Times New Roman" w:cs="Times New Roman"/>
        </w:rPr>
        <w:t xml:space="preserve"> of the </w:t>
      </w:r>
      <m:oMath>
        <m:r>
          <w:rPr>
            <w:rFonts w:ascii="Cambria Math" w:hAnsi="Cambria Math" w:cs="Times New Roman"/>
          </w:rPr>
          <m:t>TaxIncrease</m:t>
        </m:r>
      </m:oMath>
      <w:r w:rsidR="008B65FE">
        <w:rPr>
          <w:rFonts w:ascii="Times New Roman" w:eastAsiaTheme="minorEastAsia" w:hAnsi="Times New Roman" w:cs="Times New Roman"/>
        </w:rPr>
        <w:t xml:space="preserve"> variable</w:t>
      </w:r>
      <w:r w:rsidR="00197742">
        <w:rPr>
          <w:rFonts w:ascii="Times New Roman" w:hAnsi="Times New Roman" w:cs="Times New Roman"/>
        </w:rPr>
        <w:t>, and I</w:t>
      </w:r>
      <w:r>
        <w:rPr>
          <w:rFonts w:ascii="Times New Roman" w:hAnsi="Times New Roman" w:cs="Times New Roman"/>
        </w:rPr>
        <w:t xml:space="preserve"> conduct robustness tests using a “levelled” treatment definition in which I replace continuous treatment indicators with binary indicators for “high” and “low” dosage treatments.</w:t>
      </w:r>
      <w:r w:rsidR="00197742">
        <w:rPr>
          <w:rFonts w:ascii="Times New Roman" w:hAnsi="Times New Roman" w:cs="Times New Roman"/>
        </w:rPr>
        <w:t xml:space="preserve"> </w:t>
      </w:r>
      <w:r>
        <w:rPr>
          <w:rFonts w:ascii="Times New Roman" w:hAnsi="Times New Roman" w:cs="Times New Roman"/>
        </w:rPr>
        <w:t xml:space="preserve">Estimates of </w:t>
      </w:r>
      <w:r>
        <w:rPr>
          <w:rFonts w:ascii="Times New Roman" w:hAnsi="Times New Roman" w:cs="Times New Roman"/>
        </w:rPr>
        <w:lastRenderedPageBreak/>
        <w:t>the effect of the continuous treatment provide the average causal response of the outcome to the increase in the property tax.</w:t>
      </w:r>
      <w:r w:rsidR="008B65FE">
        <w:rPr>
          <w:rStyle w:val="FootnoteReference"/>
          <w:rFonts w:ascii="Times New Roman" w:hAnsi="Times New Roman" w:cs="Times New Roman"/>
        </w:rPr>
        <w:footnoteReference w:id="16"/>
      </w:r>
      <w:r>
        <w:rPr>
          <w:rFonts w:ascii="Times New Roman" w:hAnsi="Times New Roman" w:cs="Times New Roman"/>
        </w:rPr>
        <w:t xml:space="preserve"> </w:t>
      </w:r>
    </w:p>
    <w:p w14:paraId="70A3EFDC" w14:textId="39BB7944" w:rsidR="00A3605F" w:rsidRDefault="00A3605F" w:rsidP="001026B7">
      <w:pPr>
        <w:spacing w:after="0" w:line="480" w:lineRule="auto"/>
        <w:rPr>
          <w:rFonts w:ascii="Times New Roman" w:hAnsi="Times New Roman" w:cs="Times New Roman"/>
        </w:rPr>
      </w:pPr>
      <w:r>
        <w:rPr>
          <w:rFonts w:ascii="Times New Roman" w:hAnsi="Times New Roman" w:cs="Times New Roman"/>
        </w:rPr>
        <w:tab/>
        <w:t xml:space="preserve">In addition to simple aggregate effects, I also estimate an event study model of the effect of special education property tax adoption as well. Due to my sample size, I again restrict treatment </w:t>
      </w:r>
      <w:r w:rsidR="00194098">
        <w:rPr>
          <w:rFonts w:ascii="Times New Roman" w:hAnsi="Times New Roman" w:cs="Times New Roman"/>
        </w:rPr>
        <w:t>heterogeneity,</w:t>
      </w:r>
      <w:r>
        <w:rPr>
          <w:rFonts w:ascii="Times New Roman" w:hAnsi="Times New Roman" w:cs="Times New Roman"/>
        </w:rPr>
        <w:t xml:space="preserve"> and I do not interact event study indicators with treatment cohorts. This model takes the form of Equation (3):</w:t>
      </w:r>
    </w:p>
    <w:p w14:paraId="6FF697BB" w14:textId="6ED113F9" w:rsidR="00A3605F" w:rsidRPr="00A3605F" w:rsidRDefault="00000000" w:rsidP="001026B7">
      <w:pPr>
        <w:spacing w:after="0" w:line="480" w:lineRule="auto"/>
        <w:rPr>
          <w:rFonts w:ascii="Times New Roman" w:eastAsiaTheme="minorEastAsia" w:hAnsi="Times New Roman" w:cs="Times New Roman"/>
        </w:rPr>
      </w:pPr>
      <m:oMathPara>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nary>
                <m:naryPr>
                  <m:chr m:val="∑"/>
                  <m:supHide m:val="1"/>
                  <m:ctrlPr>
                    <w:rPr>
                      <w:rFonts w:ascii="Cambria Math" w:hAnsi="Cambria Math" w:cs="Times New Roman"/>
                      <w:i/>
                    </w:rPr>
                  </m:ctrlPr>
                </m:naryPr>
                <m:sub>
                  <m:r>
                    <w:rPr>
                      <w:rFonts w:ascii="Cambria Math" w:hAnsi="Cambria Math" w:cs="Times New Roman"/>
                    </w:rPr>
                    <m:t>e</m:t>
                  </m:r>
                </m:sub>
                <m:sup/>
                <m:e>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e</m:t>
                      </m:r>
                    </m:sub>
                  </m:sSub>
                  <m:r>
                    <w:rPr>
                      <w:rFonts w:ascii="Cambria Math" w:hAnsi="Cambria Math" w:cs="Times New Roman"/>
                    </w:rPr>
                    <m:t>Even</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m:t>
                      </m:r>
                    </m:sub>
                  </m:sSub>
                  <m:r>
                    <w:rPr>
                      <w:rFonts w:ascii="Cambria Math" w:hAnsi="Cambria Math" w:cs="Times New Roman"/>
                    </w:rPr>
                    <m:t>×f</m:t>
                  </m:r>
                  <m:d>
                    <m:dPr>
                      <m:ctrlPr>
                        <w:rPr>
                          <w:rFonts w:ascii="Cambria Math" w:hAnsi="Cambria Math" w:cs="Times New Roman"/>
                          <w:i/>
                        </w:rPr>
                      </m:ctrlPr>
                    </m:dPr>
                    <m:e>
                      <m:r>
                        <w:rPr>
                          <w:rFonts w:ascii="Cambria Math" w:hAnsi="Cambria Math" w:cs="Times New Roman"/>
                        </w:rPr>
                        <m:t>TaxIncreas</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it</m:t>
                          </m:r>
                        </m:sub>
                      </m:sSub>
                    </m:e>
                  </m:d>
                  <m:r>
                    <w:rPr>
                      <w:rFonts w:ascii="Cambria Math" w:hAnsi="Cambria Math" w:cs="Times New Roman"/>
                    </w:rPr>
                    <m:t>+EverTreate</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e>
              </m:nary>
              <m:r>
                <w:rPr>
                  <w:rFonts w:ascii="Cambria Math" w:hAnsi="Cambria Math" w:cs="Times New Roman"/>
                </w:rPr>
                <m:t xml:space="preserve"> #(3)</m:t>
              </m:r>
            </m:e>
          </m:eqArr>
        </m:oMath>
      </m:oMathPara>
    </w:p>
    <w:p w14:paraId="7F122503" w14:textId="40C0121B" w:rsidR="00A3605F" w:rsidRDefault="00762D0B" w:rsidP="00555E09">
      <w:pPr>
        <w:spacing w:after="0" w:line="480" w:lineRule="auto"/>
        <w:rPr>
          <w:rFonts w:ascii="Times New Roman" w:hAnsi="Times New Roman" w:cs="Times New Roman"/>
        </w:rPr>
      </w:pPr>
      <w:r>
        <w:rPr>
          <w:rFonts w:ascii="Times New Roman" w:hAnsi="Times New Roman" w:cs="Times New Roman"/>
        </w:rPr>
        <w:tab/>
      </w:r>
      <w:r w:rsidR="00A3605F">
        <w:rPr>
          <w:rFonts w:ascii="Times New Roman" w:hAnsi="Times New Roman" w:cs="Times New Roman"/>
        </w:rPr>
        <w:t xml:space="preserve">All variables are defined as in Equation (1), and I interact the treatment indicator with </w:t>
      </w:r>
      <w:r w:rsidR="00194098">
        <w:rPr>
          <w:rFonts w:ascii="Times New Roman" w:hAnsi="Times New Roman" w:cs="Times New Roman"/>
        </w:rPr>
        <w:t xml:space="preserve">event time dummies </w:t>
      </w:r>
      <m:oMath>
        <m:r>
          <w:rPr>
            <w:rFonts w:ascii="Cambria Math" w:hAnsi="Cambria Math" w:cs="Times New Roman"/>
          </w:rPr>
          <m:t>Even</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m:t>
            </m:r>
          </m:sub>
        </m:sSub>
      </m:oMath>
      <w:r w:rsidR="00194098">
        <w:rPr>
          <w:rFonts w:ascii="Times New Roman" w:eastAsiaTheme="minorEastAsia" w:hAnsi="Times New Roman" w:cs="Times New Roman"/>
        </w:rPr>
        <w:t xml:space="preserve"> </w:t>
      </w:r>
      <w:r w:rsidR="00194098">
        <w:rPr>
          <w:rFonts w:ascii="Times New Roman" w:hAnsi="Times New Roman" w:cs="Times New Roman"/>
        </w:rPr>
        <w:t xml:space="preserve">which correspond to the number of years until treatment. In addition, to avoid overfitting, I replace unit fixed effects in this model with a binary </w:t>
      </w:r>
      <m:oMath>
        <m:r>
          <w:rPr>
            <w:rFonts w:ascii="Cambria Math" w:hAnsi="Cambria Math" w:cs="Times New Roman"/>
          </w:rPr>
          <m:t>EverTreated</m:t>
        </m:r>
      </m:oMath>
      <w:r w:rsidR="00194098">
        <w:rPr>
          <w:rFonts w:ascii="Times New Roman" w:eastAsiaTheme="minorEastAsia" w:hAnsi="Times New Roman" w:cs="Times New Roman"/>
        </w:rPr>
        <w:t xml:space="preserve"> indicator that is equal to 1 for all units that are ever treated. As with aggregated estimates, I compute unconditional standard errors for these estimates as well.</w:t>
      </w:r>
    </w:p>
    <w:p w14:paraId="30A17422" w14:textId="6DF0EB0B" w:rsidR="004968D6" w:rsidRDefault="00555E09" w:rsidP="00555E09">
      <w:pPr>
        <w:spacing w:after="0" w:line="480" w:lineRule="auto"/>
        <w:rPr>
          <w:rFonts w:ascii="Times New Roman" w:hAnsi="Times New Roman" w:cs="Times New Roman"/>
          <w:b/>
          <w:bCs/>
        </w:rPr>
      </w:pPr>
      <w:r w:rsidRPr="00555E09">
        <w:rPr>
          <w:rFonts w:ascii="Times New Roman" w:hAnsi="Times New Roman" w:cs="Times New Roman"/>
          <w:b/>
          <w:bCs/>
        </w:rPr>
        <w:t>Results</w:t>
      </w:r>
    </w:p>
    <w:p w14:paraId="3837EDD3" w14:textId="323C3B56" w:rsidR="00997B22" w:rsidRPr="00997B22" w:rsidRDefault="00997B22" w:rsidP="00555E09">
      <w:pPr>
        <w:spacing w:after="0" w:line="480" w:lineRule="auto"/>
        <w:rPr>
          <w:rFonts w:ascii="Times New Roman" w:hAnsi="Times New Roman" w:cs="Times New Roman"/>
          <w:i/>
          <w:iCs/>
        </w:rPr>
      </w:pPr>
      <w:r>
        <w:rPr>
          <w:rFonts w:ascii="Times New Roman" w:hAnsi="Times New Roman" w:cs="Times New Roman"/>
          <w:i/>
          <w:iCs/>
        </w:rPr>
        <w:t>Local Property Tax Revenues</w:t>
      </w:r>
    </w:p>
    <w:p w14:paraId="03DCEC6A" w14:textId="6F890EF2" w:rsidR="004968D6" w:rsidRDefault="00BD2B17" w:rsidP="00555E09">
      <w:pPr>
        <w:spacing w:after="0" w:line="480" w:lineRule="auto"/>
        <w:rPr>
          <w:rFonts w:ascii="Times New Roman" w:hAnsi="Times New Roman" w:cs="Times New Roman"/>
        </w:rPr>
      </w:pPr>
      <w:r>
        <w:rPr>
          <w:rFonts w:ascii="Times New Roman" w:hAnsi="Times New Roman" w:cs="Times New Roman"/>
        </w:rPr>
        <w:tab/>
        <w:t xml:space="preserve">Table 2 presents the average causal response </w:t>
      </w:r>
      <w:r w:rsidR="00197742">
        <w:rPr>
          <w:rFonts w:ascii="Times New Roman" w:hAnsi="Times New Roman" w:cs="Times New Roman"/>
        </w:rPr>
        <w:t xml:space="preserve">of per pupil local special education revenues </w:t>
      </w:r>
      <w:r>
        <w:rPr>
          <w:rFonts w:ascii="Times New Roman" w:hAnsi="Times New Roman" w:cs="Times New Roman"/>
        </w:rPr>
        <w:t xml:space="preserve">from Equation (1). Using a linear functional form of the special education millage increase in column (1), I find that a </w:t>
      </w:r>
      <w:r w:rsidR="00F6719F">
        <w:rPr>
          <w:rFonts w:ascii="Times New Roman" w:hAnsi="Times New Roman" w:cs="Times New Roman"/>
        </w:rPr>
        <w:t>1</w:t>
      </w:r>
      <w:r>
        <w:rPr>
          <w:rFonts w:ascii="Times New Roman" w:hAnsi="Times New Roman" w:cs="Times New Roman"/>
        </w:rPr>
        <w:t xml:space="preserve"> mill increase </w:t>
      </w:r>
      <w:r w:rsidR="00F6719F">
        <w:rPr>
          <w:rFonts w:ascii="Times New Roman" w:hAnsi="Times New Roman" w:cs="Times New Roman"/>
        </w:rPr>
        <w:t xml:space="preserve">in the special education property tax </w:t>
      </w:r>
      <w:r>
        <w:rPr>
          <w:rFonts w:ascii="Times New Roman" w:hAnsi="Times New Roman" w:cs="Times New Roman"/>
        </w:rPr>
        <w:t xml:space="preserve">is associated with a $315 increase in per pupil local special education funding. Adding covariates in column (2), this estimate increases to $377. </w:t>
      </w:r>
      <w:r w:rsidR="00762D0B">
        <w:rPr>
          <w:rFonts w:ascii="Times New Roman" w:hAnsi="Times New Roman" w:cs="Times New Roman"/>
        </w:rPr>
        <w:t xml:space="preserve">Of the covariates, only the proportion of students with disabilities in an ISD and the total enrollment in the ISD are related to local property tax revenues for special </w:t>
      </w:r>
      <w:r w:rsidR="00762D0B">
        <w:rPr>
          <w:rFonts w:ascii="Times New Roman" w:hAnsi="Times New Roman" w:cs="Times New Roman"/>
        </w:rPr>
        <w:lastRenderedPageBreak/>
        <w:t xml:space="preserve">education. A 1 percentage point increase in the proportion of students with disabilities is associated with a $9.49 increase in per pupil local revenues for special education, and a 1% increase in total enrollment in an ISD is associated with a 6% decrease in per pupil revenues. </w:t>
      </w:r>
      <w:r>
        <w:rPr>
          <w:rFonts w:ascii="Times New Roman" w:hAnsi="Times New Roman" w:cs="Times New Roman"/>
        </w:rPr>
        <w:t>Notably from Table 1, the average millage increase during my sample is 0.6</w:t>
      </w:r>
      <w:r w:rsidR="00FB6094">
        <w:rPr>
          <w:rFonts w:ascii="Times New Roman" w:hAnsi="Times New Roman" w:cs="Times New Roman"/>
        </w:rPr>
        <w:t>1</w:t>
      </w:r>
      <w:r>
        <w:rPr>
          <w:rFonts w:ascii="Times New Roman" w:hAnsi="Times New Roman" w:cs="Times New Roman"/>
        </w:rPr>
        <w:t>, so the average treatment on the treated according to column (2) is $2</w:t>
      </w:r>
      <w:r w:rsidR="00FB6094">
        <w:rPr>
          <w:rFonts w:ascii="Times New Roman" w:hAnsi="Times New Roman" w:cs="Times New Roman"/>
        </w:rPr>
        <w:t>30</w:t>
      </w:r>
      <w:r>
        <w:rPr>
          <w:rFonts w:ascii="Times New Roman" w:hAnsi="Times New Roman" w:cs="Times New Roman"/>
        </w:rPr>
        <w:t>.</w:t>
      </w:r>
      <w:r w:rsidR="00FB6094">
        <w:rPr>
          <w:rStyle w:val="FootnoteReference"/>
          <w:rFonts w:ascii="Times New Roman" w:hAnsi="Times New Roman" w:cs="Times New Roman"/>
        </w:rPr>
        <w:footnoteReference w:id="17"/>
      </w:r>
    </w:p>
    <w:p w14:paraId="77C7A9DA" w14:textId="483EAF35" w:rsidR="00BD2B17" w:rsidRDefault="00BD2B17" w:rsidP="00555E09">
      <w:pPr>
        <w:spacing w:after="0" w:line="480" w:lineRule="auto"/>
        <w:rPr>
          <w:rFonts w:ascii="Times New Roman" w:hAnsi="Times New Roman" w:cs="Times New Roman"/>
        </w:rPr>
      </w:pPr>
      <w:r>
        <w:rPr>
          <w:rFonts w:ascii="Times New Roman" w:hAnsi="Times New Roman" w:cs="Times New Roman"/>
        </w:rPr>
        <w:tab/>
        <w:t xml:space="preserve">Accounting for potential non-linear treatment effects, columns (3) and (4) re-estimate columns (1) and (2) using a quadratic functional form of the special education property tax increase. To include two treatment indicators, treated cohorts must include at least two treated ISDs, and this accounts for the smaller sample sizes in these columns. These estimates provide </w:t>
      </w:r>
      <w:r w:rsidR="00FB6094">
        <w:rPr>
          <w:rFonts w:ascii="Times New Roman" w:hAnsi="Times New Roman" w:cs="Times New Roman"/>
        </w:rPr>
        <w:t xml:space="preserve">somewhat </w:t>
      </w:r>
      <w:r>
        <w:rPr>
          <w:rFonts w:ascii="Times New Roman" w:hAnsi="Times New Roman" w:cs="Times New Roman"/>
        </w:rPr>
        <w:t xml:space="preserve">smaller estimates of the effect of increasing property taxes on </w:t>
      </w:r>
      <w:r w:rsidR="00762D0B">
        <w:rPr>
          <w:rFonts w:ascii="Times New Roman" w:hAnsi="Times New Roman" w:cs="Times New Roman"/>
        </w:rPr>
        <w:t>per pupil special education revenues</w:t>
      </w:r>
      <w:r w:rsidR="00F6719F">
        <w:rPr>
          <w:rFonts w:ascii="Times New Roman" w:hAnsi="Times New Roman" w:cs="Times New Roman"/>
        </w:rPr>
        <w:t>.</w:t>
      </w:r>
    </w:p>
    <w:p w14:paraId="2C534AFE" w14:textId="384814F7" w:rsidR="00762D0B" w:rsidRDefault="00762D0B" w:rsidP="00555E09">
      <w:pPr>
        <w:spacing w:after="0" w:line="480" w:lineRule="auto"/>
        <w:rPr>
          <w:rFonts w:ascii="Times New Roman" w:hAnsi="Times New Roman" w:cs="Times New Roman"/>
        </w:rPr>
      </w:pPr>
      <w:r>
        <w:rPr>
          <w:rFonts w:ascii="Times New Roman" w:hAnsi="Times New Roman" w:cs="Times New Roman"/>
        </w:rPr>
        <w:tab/>
      </w:r>
      <w:r w:rsidR="00F6719F">
        <w:rPr>
          <w:rFonts w:ascii="Times New Roman" w:hAnsi="Times New Roman" w:cs="Times New Roman"/>
        </w:rPr>
        <w:t>Because 9 of 15 treated</w:t>
      </w:r>
      <w:r>
        <w:rPr>
          <w:rFonts w:ascii="Times New Roman" w:hAnsi="Times New Roman" w:cs="Times New Roman"/>
        </w:rPr>
        <w:t xml:space="preserve"> cohorts </w:t>
      </w:r>
      <w:r w:rsidR="00F6719F">
        <w:rPr>
          <w:rFonts w:ascii="Times New Roman" w:hAnsi="Times New Roman" w:cs="Times New Roman"/>
        </w:rPr>
        <w:t>are singletons</w:t>
      </w:r>
      <w:r w:rsidR="00FB6094">
        <w:rPr>
          <w:rFonts w:ascii="Times New Roman" w:hAnsi="Times New Roman" w:cs="Times New Roman"/>
        </w:rPr>
        <w:t xml:space="preserve">, I </w:t>
      </w:r>
      <w:r w:rsidR="002E2F96">
        <w:rPr>
          <w:rFonts w:ascii="Times New Roman" w:hAnsi="Times New Roman" w:cs="Times New Roman"/>
        </w:rPr>
        <w:t>cannot</w:t>
      </w:r>
      <w:r w:rsidR="00FB6094">
        <w:rPr>
          <w:rFonts w:ascii="Times New Roman" w:hAnsi="Times New Roman" w:cs="Times New Roman"/>
        </w:rPr>
        <w:t xml:space="preserve"> estimate the quadratic functional form of the treatment intensity with all ISDs. As a result</w:t>
      </w:r>
      <w:r>
        <w:rPr>
          <w:rFonts w:ascii="Times New Roman" w:hAnsi="Times New Roman" w:cs="Times New Roman"/>
        </w:rPr>
        <w:t xml:space="preserve">, the estimates in column (2) of Table 1 comprise my preferred estimates. This model accounts for treatment heterogeneity by cohort in a regression framework, and it incorporates the continuous treatment in a linear </w:t>
      </w:r>
      <w:r w:rsidR="00FB6094">
        <w:rPr>
          <w:rFonts w:ascii="Times New Roman" w:hAnsi="Times New Roman" w:cs="Times New Roman"/>
        </w:rPr>
        <w:t>functional form</w:t>
      </w:r>
      <w:r>
        <w:rPr>
          <w:rFonts w:ascii="Times New Roman" w:hAnsi="Times New Roman" w:cs="Times New Roman"/>
        </w:rPr>
        <w:t>.</w:t>
      </w:r>
    </w:p>
    <w:p w14:paraId="1A119FFE" w14:textId="23F090B0" w:rsidR="00762D0B" w:rsidRDefault="00762D0B" w:rsidP="00555E09">
      <w:pPr>
        <w:spacing w:after="0" w:line="480" w:lineRule="auto"/>
        <w:rPr>
          <w:rFonts w:ascii="Times New Roman" w:hAnsi="Times New Roman" w:cs="Times New Roman"/>
        </w:rPr>
      </w:pPr>
      <w:r>
        <w:rPr>
          <w:rFonts w:ascii="Times New Roman" w:hAnsi="Times New Roman" w:cs="Times New Roman"/>
        </w:rPr>
        <w:tab/>
        <w:t xml:space="preserve">Figure </w:t>
      </w:r>
      <w:r w:rsidR="00FB6094">
        <w:rPr>
          <w:rFonts w:ascii="Times New Roman" w:hAnsi="Times New Roman" w:cs="Times New Roman"/>
        </w:rPr>
        <w:t>5</w:t>
      </w:r>
      <w:r>
        <w:rPr>
          <w:rFonts w:ascii="Times New Roman" w:hAnsi="Times New Roman" w:cs="Times New Roman"/>
        </w:rPr>
        <w:t xml:space="preserve"> presents an event study</w:t>
      </w:r>
      <w:r w:rsidR="00FB6094">
        <w:rPr>
          <w:rFonts w:ascii="Times New Roman" w:hAnsi="Times New Roman" w:cs="Times New Roman"/>
        </w:rPr>
        <w:t xml:space="preserve"> of per pupil local revenues for special education</w:t>
      </w:r>
      <w:r>
        <w:rPr>
          <w:rFonts w:ascii="Times New Roman" w:hAnsi="Times New Roman" w:cs="Times New Roman"/>
        </w:rPr>
        <w:t xml:space="preserve"> using </w:t>
      </w:r>
      <w:r w:rsidR="008D335A">
        <w:rPr>
          <w:rFonts w:ascii="Times New Roman" w:hAnsi="Times New Roman" w:cs="Times New Roman"/>
        </w:rPr>
        <w:t>estimates from Equation (3) with a linear functional form of the treatment intensity</w:t>
      </w:r>
      <w:r>
        <w:rPr>
          <w:rFonts w:ascii="Times New Roman" w:hAnsi="Times New Roman" w:cs="Times New Roman"/>
        </w:rPr>
        <w:t xml:space="preserve">. This illustrates very limited pre-trends in local special education revenues prior to the property tax adoption, and I observe an immediate increase following the adoption of the property tax. </w:t>
      </w:r>
      <w:r w:rsidR="008D335A">
        <w:rPr>
          <w:rFonts w:ascii="Times New Roman" w:hAnsi="Times New Roman" w:cs="Times New Roman"/>
        </w:rPr>
        <w:t xml:space="preserve">Note that revenues in the left-out period appear to be slightly higher than in the rest of the pre-period, although this is likely because property taxes don’t align precisely with school district fiscal years. As a result, some revenues from the property tax change may be collected in the left-out </w:t>
      </w:r>
      <w:r w:rsidR="008D335A">
        <w:rPr>
          <w:rFonts w:ascii="Times New Roman" w:hAnsi="Times New Roman" w:cs="Times New Roman"/>
        </w:rPr>
        <w:lastRenderedPageBreak/>
        <w:t>year. In addition, p</w:t>
      </w:r>
      <w:r>
        <w:rPr>
          <w:rFonts w:ascii="Times New Roman" w:hAnsi="Times New Roman" w:cs="Times New Roman"/>
        </w:rPr>
        <w:t>er Michigan state law, taxes may not collect more than they were originally approved to collect, so per pupil local special education revenues naturally decline over time as they are adjusted down as property values increase.</w:t>
      </w:r>
      <w:r w:rsidR="0062487A">
        <w:rPr>
          <w:rFonts w:ascii="Times New Roman" w:hAnsi="Times New Roman" w:cs="Times New Roman"/>
        </w:rPr>
        <w:t xml:space="preserve"> This is evidenced by the decreasing trend in local revenues, although this is not evident in the pre-period as treated and control ISD revenues appear to change at the same rate prior to the tax change.</w:t>
      </w:r>
    </w:p>
    <w:p w14:paraId="5F21E59A" w14:textId="339B100B" w:rsidR="00762D0B" w:rsidRDefault="00997B22" w:rsidP="00555E09">
      <w:pPr>
        <w:spacing w:after="0" w:line="480" w:lineRule="auto"/>
        <w:rPr>
          <w:rFonts w:ascii="Times New Roman" w:hAnsi="Times New Roman" w:cs="Times New Roman"/>
        </w:rPr>
      </w:pPr>
      <w:r>
        <w:rPr>
          <w:rFonts w:ascii="Times New Roman" w:hAnsi="Times New Roman" w:cs="Times New Roman"/>
        </w:rPr>
        <w:tab/>
        <w:t>Table 3 presents robustness checks of my main specification with varying model specifications, covariates, and sample restrictions. Column (1) of this table presents my base model with all covariates and linear</w:t>
      </w:r>
      <w:r w:rsidR="0062487A">
        <w:rPr>
          <w:rFonts w:ascii="Times New Roman" w:hAnsi="Times New Roman" w:cs="Times New Roman"/>
        </w:rPr>
        <w:t>,</w:t>
      </w:r>
      <w:r>
        <w:rPr>
          <w:rFonts w:ascii="Times New Roman" w:hAnsi="Times New Roman" w:cs="Times New Roman"/>
        </w:rPr>
        <w:t xml:space="preserve"> continuous treatment from column (2) of Table 2. Column (2) of this table includes a lag of average special education revenues, and this decreases the estimate</w:t>
      </w:r>
      <w:r w:rsidR="0062487A">
        <w:rPr>
          <w:rFonts w:ascii="Times New Roman" w:hAnsi="Times New Roman" w:cs="Times New Roman"/>
        </w:rPr>
        <w:t xml:space="preserve"> of the effect of property tax adoption to $239 per pupil</w:t>
      </w:r>
      <w:r>
        <w:rPr>
          <w:rFonts w:ascii="Times New Roman" w:hAnsi="Times New Roman" w:cs="Times New Roman"/>
        </w:rPr>
        <w:t xml:space="preserve">. </w:t>
      </w:r>
      <w:r w:rsidR="0062487A">
        <w:rPr>
          <w:rFonts w:ascii="Times New Roman" w:hAnsi="Times New Roman" w:cs="Times New Roman"/>
        </w:rPr>
        <w:t xml:space="preserve">As in Table 1, this suggests that some of the higher property taxes are </w:t>
      </w:r>
      <w:r w:rsidR="00AA6915">
        <w:rPr>
          <w:rFonts w:ascii="Times New Roman" w:hAnsi="Times New Roman" w:cs="Times New Roman"/>
        </w:rPr>
        <w:t xml:space="preserve">explained by the fact that treated ISDs have higher local per pupil revenues for special education in general. </w:t>
      </w:r>
      <w:r>
        <w:rPr>
          <w:rFonts w:ascii="Times New Roman" w:hAnsi="Times New Roman" w:cs="Times New Roman"/>
        </w:rPr>
        <w:t xml:space="preserve">Column (3) of Table 3 uses a </w:t>
      </w:r>
      <w:r w:rsidR="002E2F96">
        <w:rPr>
          <w:rFonts w:ascii="Times New Roman" w:hAnsi="Times New Roman" w:cs="Times New Roman"/>
        </w:rPr>
        <w:t>P</w:t>
      </w:r>
      <w:r>
        <w:rPr>
          <w:rFonts w:ascii="Times New Roman" w:hAnsi="Times New Roman" w:cs="Times New Roman"/>
        </w:rPr>
        <w:t>oisson regression to account for the non-negative nature of the outcome variable</w:t>
      </w:r>
      <w:r w:rsidR="00AA6915">
        <w:rPr>
          <w:rFonts w:ascii="Times New Roman" w:hAnsi="Times New Roman" w:cs="Times New Roman"/>
        </w:rPr>
        <w:t>.</w:t>
      </w:r>
      <w:r>
        <w:rPr>
          <w:rFonts w:ascii="Times New Roman" w:hAnsi="Times New Roman" w:cs="Times New Roman"/>
        </w:rPr>
        <w:t xml:space="preserve"> </w:t>
      </w:r>
      <w:r w:rsidR="00AA6915">
        <w:rPr>
          <w:rFonts w:ascii="Times New Roman" w:hAnsi="Times New Roman" w:cs="Times New Roman"/>
        </w:rPr>
        <w:t>T</w:t>
      </w:r>
      <w:r>
        <w:rPr>
          <w:rFonts w:ascii="Times New Roman" w:hAnsi="Times New Roman" w:cs="Times New Roman"/>
        </w:rPr>
        <w:t xml:space="preserve">his provides </w:t>
      </w:r>
      <w:r w:rsidR="00AA6915">
        <w:rPr>
          <w:rFonts w:ascii="Times New Roman" w:hAnsi="Times New Roman" w:cs="Times New Roman"/>
        </w:rPr>
        <w:t xml:space="preserve">a </w:t>
      </w:r>
      <w:r>
        <w:rPr>
          <w:rFonts w:ascii="Times New Roman" w:hAnsi="Times New Roman" w:cs="Times New Roman"/>
        </w:rPr>
        <w:t>slightly larger estimate</w:t>
      </w:r>
      <w:r w:rsidR="00AA6915">
        <w:rPr>
          <w:rFonts w:ascii="Times New Roman" w:hAnsi="Times New Roman" w:cs="Times New Roman"/>
        </w:rPr>
        <w:t xml:space="preserve"> </w:t>
      </w:r>
      <w:r>
        <w:rPr>
          <w:rFonts w:ascii="Times New Roman" w:hAnsi="Times New Roman" w:cs="Times New Roman"/>
        </w:rPr>
        <w:t xml:space="preserve">than my main model. </w:t>
      </w:r>
      <w:r w:rsidR="00AA6915">
        <w:rPr>
          <w:rFonts w:ascii="Times New Roman" w:hAnsi="Times New Roman" w:cs="Times New Roman"/>
        </w:rPr>
        <w:t xml:space="preserve">Column (4) interacts </w:t>
      </w:r>
      <w:r>
        <w:rPr>
          <w:rFonts w:ascii="Times New Roman" w:hAnsi="Times New Roman" w:cs="Times New Roman"/>
        </w:rPr>
        <w:t>cohort-time demeaned covariates with the treatment variable</w:t>
      </w:r>
      <w:r w:rsidR="00AA6915">
        <w:rPr>
          <w:rFonts w:ascii="Times New Roman" w:hAnsi="Times New Roman" w:cs="Times New Roman"/>
        </w:rPr>
        <w:t xml:space="preserve"> following Wooldridge (2025), and this</w:t>
      </w:r>
      <w:r>
        <w:rPr>
          <w:rFonts w:ascii="Times New Roman" w:hAnsi="Times New Roman" w:cs="Times New Roman"/>
        </w:rPr>
        <w:t xml:space="preserve"> increases the estimated effect further to a $404 increase in per pupil local revenues for special education.</w:t>
      </w:r>
    </w:p>
    <w:p w14:paraId="51036125" w14:textId="78DE2A8E" w:rsidR="00AA6915" w:rsidRDefault="00997B22" w:rsidP="00555E09">
      <w:pPr>
        <w:spacing w:after="0" w:line="480" w:lineRule="auto"/>
        <w:rPr>
          <w:rFonts w:ascii="Times New Roman" w:hAnsi="Times New Roman" w:cs="Times New Roman"/>
        </w:rPr>
      </w:pPr>
      <w:r>
        <w:rPr>
          <w:rFonts w:ascii="Times New Roman" w:hAnsi="Times New Roman" w:cs="Times New Roman"/>
        </w:rPr>
        <w:tab/>
        <w:t>Column (5) of Table 3 re-estimates the model with a binary treatment instead of a dosage estimator. In this case, there is no assumed functional form</w:t>
      </w:r>
      <w:r w:rsidR="00F6719F">
        <w:rPr>
          <w:rFonts w:ascii="Times New Roman" w:hAnsi="Times New Roman" w:cs="Times New Roman"/>
        </w:rPr>
        <w:t xml:space="preserve"> of </w:t>
      </w:r>
      <m:oMath>
        <m:r>
          <w:rPr>
            <w:rFonts w:ascii="Cambria Math" w:hAnsi="Cambria Math" w:cs="Times New Roman"/>
          </w:rPr>
          <m:t>TaxIncrease</m:t>
        </m:r>
      </m:oMath>
      <w:r>
        <w:rPr>
          <w:rFonts w:ascii="Times New Roman" w:hAnsi="Times New Roman" w:cs="Times New Roman"/>
        </w:rPr>
        <w:t xml:space="preserve">, and the estimate is </w:t>
      </w:r>
      <w:r w:rsidR="00F6719F">
        <w:rPr>
          <w:rFonts w:ascii="Times New Roman" w:hAnsi="Times New Roman" w:cs="Times New Roman"/>
        </w:rPr>
        <w:t>equivalent</w:t>
      </w:r>
      <w:r>
        <w:rPr>
          <w:rFonts w:ascii="Times New Roman" w:hAnsi="Times New Roman" w:cs="Times New Roman"/>
        </w:rPr>
        <w:t xml:space="preserve"> to the average treatment on the treated. In other words, this estimate is not the effect of a 1 mill increase, but the average effect of adopting any property tax for special education on ISD revenues. This is substantively smaller and more precise than my main estimate</w:t>
      </w:r>
      <w:r w:rsidR="00AA6915">
        <w:rPr>
          <w:rFonts w:ascii="Times New Roman" w:hAnsi="Times New Roman" w:cs="Times New Roman"/>
        </w:rPr>
        <w:t>, and this indicates that the average effect of adopting an earmarked property tax for special education is a $181 increase in per pupil revenues for special education</w:t>
      </w:r>
      <w:r>
        <w:rPr>
          <w:rFonts w:ascii="Times New Roman" w:hAnsi="Times New Roman" w:cs="Times New Roman"/>
        </w:rPr>
        <w:t>.</w:t>
      </w:r>
      <w:r w:rsidR="00D9011B">
        <w:rPr>
          <w:rFonts w:ascii="Times New Roman" w:hAnsi="Times New Roman" w:cs="Times New Roman"/>
        </w:rPr>
        <w:t xml:space="preserve"> Column (6) of Table 3 presents the </w:t>
      </w:r>
      <w:r w:rsidR="00D9011B">
        <w:rPr>
          <w:rFonts w:ascii="Times New Roman" w:hAnsi="Times New Roman" w:cs="Times New Roman"/>
        </w:rPr>
        <w:lastRenderedPageBreak/>
        <w:t>estimate using a TWFE estimator that does not include interactions with the cohort indicators, and this estimate is very similar to my main estimate.</w:t>
      </w:r>
      <w:r w:rsidR="00AA6915">
        <w:rPr>
          <w:rStyle w:val="FootnoteReference"/>
          <w:rFonts w:ascii="Times New Roman" w:hAnsi="Times New Roman" w:cs="Times New Roman"/>
        </w:rPr>
        <w:footnoteReference w:id="18"/>
      </w:r>
      <w:r w:rsidR="00D9011B">
        <w:rPr>
          <w:rFonts w:ascii="Times New Roman" w:hAnsi="Times New Roman" w:cs="Times New Roman"/>
        </w:rPr>
        <w:t xml:space="preserve"> Next, column (7) re-estimates the model using only a balanced panel of ISDs, and column (8) uses a stacked estimator following Cengiz et al. (2018) and Wing et al. (2024). These estimates are largely in line with my main estimate. </w:t>
      </w:r>
    </w:p>
    <w:p w14:paraId="6F89E39A" w14:textId="016FAFED" w:rsidR="00AA6915" w:rsidRDefault="00D9011B" w:rsidP="00AA6915">
      <w:pPr>
        <w:spacing w:after="0" w:line="480" w:lineRule="auto"/>
        <w:ind w:firstLine="720"/>
        <w:rPr>
          <w:rFonts w:ascii="Times New Roman" w:hAnsi="Times New Roman" w:cs="Times New Roman"/>
        </w:rPr>
      </w:pPr>
      <w:r>
        <w:rPr>
          <w:rFonts w:ascii="Times New Roman" w:hAnsi="Times New Roman" w:cs="Times New Roman"/>
        </w:rPr>
        <w:t xml:space="preserve">Finally, </w:t>
      </w:r>
      <w:r w:rsidR="00AA6915">
        <w:rPr>
          <w:rFonts w:ascii="Times New Roman" w:hAnsi="Times New Roman" w:cs="Times New Roman"/>
        </w:rPr>
        <w:t xml:space="preserve">I estimate </w:t>
      </w:r>
      <w:r w:rsidR="001B6D13">
        <w:rPr>
          <w:rFonts w:ascii="Times New Roman" w:hAnsi="Times New Roman" w:cs="Times New Roman"/>
        </w:rPr>
        <w:t>three</w:t>
      </w:r>
      <w:r w:rsidR="00AA6915">
        <w:rPr>
          <w:rFonts w:ascii="Times New Roman" w:hAnsi="Times New Roman" w:cs="Times New Roman"/>
        </w:rPr>
        <w:t xml:space="preserve"> alternative models of Equation (1). In Column (9), </w:t>
      </w:r>
      <w:r>
        <w:rPr>
          <w:rFonts w:ascii="Times New Roman" w:hAnsi="Times New Roman" w:cs="Times New Roman"/>
        </w:rPr>
        <w:t xml:space="preserve">I estimate the weighted average slope (WAS) estimator following de </w:t>
      </w:r>
      <w:proofErr w:type="spellStart"/>
      <w:r>
        <w:rPr>
          <w:rFonts w:ascii="Times New Roman" w:hAnsi="Times New Roman" w:cs="Times New Roman"/>
        </w:rPr>
        <w:t>Chaisemartin</w:t>
      </w:r>
      <w:proofErr w:type="spellEnd"/>
      <w:r>
        <w:rPr>
          <w:rFonts w:ascii="Times New Roman" w:hAnsi="Times New Roman" w:cs="Times New Roman"/>
        </w:rPr>
        <w:t xml:space="preserve"> &amp; de </w:t>
      </w:r>
      <w:proofErr w:type="spellStart"/>
      <w:r>
        <w:rPr>
          <w:rFonts w:ascii="Times New Roman" w:hAnsi="Times New Roman" w:cs="Times New Roman"/>
        </w:rPr>
        <w:t>Hautefouille</w:t>
      </w:r>
      <w:proofErr w:type="spellEnd"/>
      <w:r>
        <w:rPr>
          <w:rFonts w:ascii="Times New Roman" w:hAnsi="Times New Roman" w:cs="Times New Roman"/>
        </w:rPr>
        <w:t xml:space="preserve"> (202</w:t>
      </w:r>
      <w:r w:rsidR="006D26D0">
        <w:rPr>
          <w:rFonts w:ascii="Times New Roman" w:hAnsi="Times New Roman" w:cs="Times New Roman"/>
        </w:rPr>
        <w:t>0</w:t>
      </w:r>
      <w:r>
        <w:rPr>
          <w:rFonts w:ascii="Times New Roman" w:hAnsi="Times New Roman" w:cs="Times New Roman"/>
        </w:rPr>
        <w:t>). This estimator is uniquely suited to</w:t>
      </w:r>
      <w:r w:rsidR="00AA6915">
        <w:rPr>
          <w:rFonts w:ascii="Times New Roman" w:hAnsi="Times New Roman" w:cs="Times New Roman"/>
        </w:rPr>
        <w:t xml:space="preserve"> model </w:t>
      </w:r>
      <w:r>
        <w:rPr>
          <w:rFonts w:ascii="Times New Roman" w:hAnsi="Times New Roman" w:cs="Times New Roman"/>
        </w:rPr>
        <w:t>continuous treatments</w:t>
      </w:r>
      <w:r w:rsidR="00AA6915">
        <w:rPr>
          <w:rFonts w:ascii="Times New Roman" w:hAnsi="Times New Roman" w:cs="Times New Roman"/>
        </w:rPr>
        <w:t>, staggered adoption, and possible violations of parallel trends</w:t>
      </w:r>
      <w:r>
        <w:rPr>
          <w:rFonts w:ascii="Times New Roman" w:hAnsi="Times New Roman" w:cs="Times New Roman"/>
        </w:rPr>
        <w:t xml:space="preserve">, and the estimate is </w:t>
      </w:r>
      <w:r w:rsidR="00AA6915">
        <w:rPr>
          <w:rFonts w:ascii="Times New Roman" w:hAnsi="Times New Roman" w:cs="Times New Roman"/>
        </w:rPr>
        <w:t>only</w:t>
      </w:r>
      <w:r>
        <w:rPr>
          <w:rFonts w:ascii="Times New Roman" w:hAnsi="Times New Roman" w:cs="Times New Roman"/>
        </w:rPr>
        <w:t xml:space="preserve"> slightly smaller than my main estimate.</w:t>
      </w:r>
      <w:r w:rsidR="007D28B4">
        <w:rPr>
          <w:rStyle w:val="FootnoteReference"/>
          <w:rFonts w:ascii="Times New Roman" w:hAnsi="Times New Roman" w:cs="Times New Roman"/>
        </w:rPr>
        <w:footnoteReference w:id="19"/>
      </w:r>
      <w:r>
        <w:rPr>
          <w:rFonts w:ascii="Times New Roman" w:hAnsi="Times New Roman" w:cs="Times New Roman"/>
        </w:rPr>
        <w:t xml:space="preserve"> </w:t>
      </w:r>
      <w:r w:rsidR="00AA6915">
        <w:rPr>
          <w:rFonts w:ascii="Times New Roman" w:hAnsi="Times New Roman" w:cs="Times New Roman"/>
        </w:rPr>
        <w:t xml:space="preserve">In column (9), </w:t>
      </w:r>
      <w:r>
        <w:rPr>
          <w:rFonts w:ascii="Times New Roman" w:hAnsi="Times New Roman" w:cs="Times New Roman"/>
        </w:rPr>
        <w:t>I also estimate the model with binary treatment using a synthetic difference-in-differences estimator following Ark</w:t>
      </w:r>
      <w:r w:rsidR="00E1189B">
        <w:rPr>
          <w:rFonts w:ascii="Times New Roman" w:hAnsi="Times New Roman" w:cs="Times New Roman"/>
        </w:rPr>
        <w:t>h</w:t>
      </w:r>
      <w:r>
        <w:rPr>
          <w:rFonts w:ascii="Times New Roman" w:hAnsi="Times New Roman" w:cs="Times New Roman"/>
        </w:rPr>
        <w:t xml:space="preserve">angelsky et al. (2024), and this gives a smaller but still significant effect that is aligned with the binary treatment ETWFE estimator. </w:t>
      </w:r>
      <w:r w:rsidR="001B6D13">
        <w:rPr>
          <w:rFonts w:ascii="Times New Roman" w:hAnsi="Times New Roman" w:cs="Times New Roman"/>
        </w:rPr>
        <w:t xml:space="preserve"> In column (11), I re-estimate Equation (1) replacing the functional form of </w:t>
      </w:r>
      <m:oMath>
        <m:r>
          <w:rPr>
            <w:rFonts w:ascii="Cambria Math" w:hAnsi="Cambria Math" w:cs="Times New Roman"/>
          </w:rPr>
          <m:t>TaxIncrease</m:t>
        </m:r>
      </m:oMath>
      <w:r w:rsidR="001B6D13">
        <w:rPr>
          <w:rFonts w:ascii="Times New Roman" w:eastAsiaTheme="minorEastAsia" w:hAnsi="Times New Roman" w:cs="Times New Roman"/>
        </w:rPr>
        <w:t xml:space="preserve"> with two binary indicators for low and high dosage treatments. The low dosage treatment indicator is equal to 1 if the millage increase from the property tax change is less than 0.5 mills, and the high dosage indicator is equal to 1 if the increase is greater than 0.5 mills. This analysis indicates that larger millage increases are associated with larger increases in revenues.</w:t>
      </w:r>
    </w:p>
    <w:p w14:paraId="44DB00A0" w14:textId="188D2948" w:rsidR="00D67708" w:rsidRDefault="00D67708" w:rsidP="00AA6915">
      <w:pPr>
        <w:spacing w:after="0" w:line="480" w:lineRule="auto"/>
        <w:ind w:firstLine="720"/>
        <w:rPr>
          <w:rFonts w:ascii="Times New Roman" w:hAnsi="Times New Roman" w:cs="Times New Roman"/>
        </w:rPr>
      </w:pPr>
      <w:r>
        <w:rPr>
          <w:rFonts w:ascii="Times New Roman" w:hAnsi="Times New Roman" w:cs="Times New Roman"/>
        </w:rPr>
        <w:t xml:space="preserve">In addition to these specifications, I estimate similar robustness checks for the sample of ever-treated ISDs in Appendix Table A2. In the case that </w:t>
      </w:r>
      <w:r w:rsidR="00A42BB5">
        <w:rPr>
          <w:rFonts w:ascii="Times New Roman" w:hAnsi="Times New Roman" w:cs="Times New Roman"/>
        </w:rPr>
        <w:t>control ISDs differ on unobservable characteristics relative to treated ISDs, comparing not-yet-treated units to treated units may provide a better control group. These estimates are very similar to estimates using a never treated control group in Tables 2 and 3.</w:t>
      </w:r>
    </w:p>
    <w:p w14:paraId="5A7E63E7" w14:textId="0A90C95E" w:rsidR="00997B22" w:rsidRDefault="00D9011B" w:rsidP="00AA6915">
      <w:pPr>
        <w:spacing w:after="0" w:line="480" w:lineRule="auto"/>
        <w:ind w:firstLine="720"/>
        <w:rPr>
          <w:rFonts w:ascii="Times New Roman" w:hAnsi="Times New Roman" w:cs="Times New Roman"/>
        </w:rPr>
      </w:pPr>
      <w:r>
        <w:rPr>
          <w:rFonts w:ascii="Times New Roman" w:hAnsi="Times New Roman" w:cs="Times New Roman"/>
        </w:rPr>
        <w:lastRenderedPageBreak/>
        <w:t>The results of these additional specifications corroborate my main finding that a 1 mill increase in special education property taxes generates between a $300 and $400 increase in per pupil local revenues for special education</w:t>
      </w:r>
      <w:r w:rsidR="00AA6915">
        <w:rPr>
          <w:rFonts w:ascii="Times New Roman" w:hAnsi="Times New Roman" w:cs="Times New Roman"/>
        </w:rPr>
        <w:t>, although the magnitude of the effect may be larger or smaller depending on the exact size of the property tax change.</w:t>
      </w:r>
    </w:p>
    <w:p w14:paraId="66517FBE" w14:textId="65639047" w:rsidR="00D9011B" w:rsidRDefault="00D9011B" w:rsidP="00555E09">
      <w:pPr>
        <w:spacing w:after="0" w:line="480" w:lineRule="auto"/>
        <w:rPr>
          <w:rFonts w:ascii="Times New Roman" w:hAnsi="Times New Roman" w:cs="Times New Roman"/>
          <w:i/>
          <w:iCs/>
        </w:rPr>
      </w:pPr>
      <w:r>
        <w:rPr>
          <w:rFonts w:ascii="Times New Roman" w:hAnsi="Times New Roman" w:cs="Times New Roman"/>
          <w:i/>
          <w:iCs/>
        </w:rPr>
        <w:t>Impacts on Special Education Expenditures and Transfers</w:t>
      </w:r>
    </w:p>
    <w:p w14:paraId="7F8325CF" w14:textId="7A154511" w:rsidR="00D9011B" w:rsidRDefault="001E68FF" w:rsidP="00555E09">
      <w:pPr>
        <w:spacing w:after="0" w:line="480" w:lineRule="auto"/>
        <w:rPr>
          <w:rFonts w:ascii="Times New Roman" w:hAnsi="Times New Roman" w:cs="Times New Roman"/>
        </w:rPr>
      </w:pPr>
      <w:r>
        <w:rPr>
          <w:rFonts w:ascii="Times New Roman" w:hAnsi="Times New Roman" w:cs="Times New Roman"/>
        </w:rPr>
        <w:tab/>
        <w:t xml:space="preserve">While adopting new property taxes for special education has a strong positive impact on </w:t>
      </w:r>
      <w:r w:rsidR="00F6719F">
        <w:rPr>
          <w:rFonts w:ascii="Times New Roman" w:hAnsi="Times New Roman" w:cs="Times New Roman"/>
        </w:rPr>
        <w:t xml:space="preserve">earmarked </w:t>
      </w:r>
      <w:r>
        <w:rPr>
          <w:rFonts w:ascii="Times New Roman" w:hAnsi="Times New Roman" w:cs="Times New Roman"/>
        </w:rPr>
        <w:t xml:space="preserve">revenues for special education, the impacts of these additional revenues on spending are not clear. ISDs may </w:t>
      </w:r>
      <w:r w:rsidR="00F6719F">
        <w:rPr>
          <w:rFonts w:ascii="Times New Roman" w:hAnsi="Times New Roman" w:cs="Times New Roman"/>
        </w:rPr>
        <w:t xml:space="preserve">use </w:t>
      </w:r>
      <w:r>
        <w:rPr>
          <w:rFonts w:ascii="Times New Roman" w:hAnsi="Times New Roman" w:cs="Times New Roman"/>
        </w:rPr>
        <w:t xml:space="preserve">additional revenues to supplement their own special education programs, and these expenditures </w:t>
      </w:r>
      <w:r w:rsidR="00D67708">
        <w:rPr>
          <w:rFonts w:ascii="Times New Roman" w:hAnsi="Times New Roman" w:cs="Times New Roman"/>
        </w:rPr>
        <w:t>c</w:t>
      </w:r>
      <w:r>
        <w:rPr>
          <w:rFonts w:ascii="Times New Roman" w:hAnsi="Times New Roman" w:cs="Times New Roman"/>
        </w:rPr>
        <w:t xml:space="preserve">ould be observed as increased salaries, benefits, supplies, or services for special education. Alternatively, ISDs </w:t>
      </w:r>
      <w:r w:rsidR="00D67708">
        <w:rPr>
          <w:rFonts w:ascii="Times New Roman" w:hAnsi="Times New Roman" w:cs="Times New Roman"/>
        </w:rPr>
        <w:t>may</w:t>
      </w:r>
      <w:r>
        <w:rPr>
          <w:rFonts w:ascii="Times New Roman" w:hAnsi="Times New Roman" w:cs="Times New Roman"/>
        </w:rPr>
        <w:t xml:space="preserve"> transfer additional funding from local property tax revenues to constituent local school districts. In this case, the additional revenues would support local school districts to provide their own special education programs.</w:t>
      </w:r>
    </w:p>
    <w:p w14:paraId="12C68487" w14:textId="3117F293" w:rsidR="001E68FF" w:rsidRDefault="001E68FF" w:rsidP="00555E09">
      <w:pPr>
        <w:spacing w:after="0" w:line="480" w:lineRule="auto"/>
        <w:rPr>
          <w:rFonts w:ascii="Times New Roman" w:hAnsi="Times New Roman" w:cs="Times New Roman"/>
        </w:rPr>
      </w:pPr>
      <w:r>
        <w:rPr>
          <w:rFonts w:ascii="Times New Roman" w:hAnsi="Times New Roman" w:cs="Times New Roman"/>
        </w:rPr>
        <w:tab/>
        <w:t xml:space="preserve">Table 4 presents the average causal responses of ISD-level spending for special education and transfers of </w:t>
      </w:r>
      <w:r w:rsidR="00F6719F">
        <w:rPr>
          <w:rFonts w:ascii="Times New Roman" w:hAnsi="Times New Roman" w:cs="Times New Roman"/>
        </w:rPr>
        <w:t xml:space="preserve">earmarked </w:t>
      </w:r>
      <w:r>
        <w:rPr>
          <w:rFonts w:ascii="Times New Roman" w:hAnsi="Times New Roman" w:cs="Times New Roman"/>
        </w:rPr>
        <w:t xml:space="preserve">special education revenues. Column (1) of this table presents the fully specified model with a linear </w:t>
      </w:r>
      <w:r w:rsidR="00D67708">
        <w:rPr>
          <w:rFonts w:ascii="Times New Roman" w:hAnsi="Times New Roman" w:cs="Times New Roman"/>
        </w:rPr>
        <w:t xml:space="preserve">functional form of </w:t>
      </w:r>
      <w:r>
        <w:rPr>
          <w:rFonts w:ascii="Times New Roman" w:hAnsi="Times New Roman" w:cs="Times New Roman"/>
        </w:rPr>
        <w:t xml:space="preserve">treatment, and column (2) presents this model with a quadratic </w:t>
      </w:r>
      <w:r w:rsidR="00D67708">
        <w:rPr>
          <w:rFonts w:ascii="Times New Roman" w:hAnsi="Times New Roman" w:cs="Times New Roman"/>
        </w:rPr>
        <w:t>treatment</w:t>
      </w:r>
      <w:r>
        <w:rPr>
          <w:rFonts w:ascii="Times New Roman" w:hAnsi="Times New Roman" w:cs="Times New Roman"/>
        </w:rPr>
        <w:t xml:space="preserve">. The estimates from columns (1) and (2) suggest that ISDs do increase spending for their special education programs following the adoption of new property taxes, although by less than the full value of the property tax. </w:t>
      </w:r>
      <w:r w:rsidR="00D67708">
        <w:rPr>
          <w:rFonts w:ascii="Times New Roman" w:hAnsi="Times New Roman" w:cs="Times New Roman"/>
        </w:rPr>
        <w:t xml:space="preserve">This is consistent with research on other restricted </w:t>
      </w:r>
      <w:r w:rsidR="00F6719F">
        <w:rPr>
          <w:rFonts w:ascii="Times New Roman" w:hAnsi="Times New Roman" w:cs="Times New Roman"/>
        </w:rPr>
        <w:t>education</w:t>
      </w:r>
      <w:r w:rsidR="00D67708">
        <w:rPr>
          <w:rFonts w:ascii="Times New Roman" w:hAnsi="Times New Roman" w:cs="Times New Roman"/>
        </w:rPr>
        <w:t xml:space="preserve"> grants (Fisher &amp; Papke, 2000). </w:t>
      </w:r>
      <w:r>
        <w:rPr>
          <w:rFonts w:ascii="Times New Roman" w:hAnsi="Times New Roman" w:cs="Times New Roman"/>
        </w:rPr>
        <w:t xml:space="preserve">Considering the linear model in column (1), a 1 mill increase in a special education property tax causes ISDs to increase spending for special education by $124 per pupil. </w:t>
      </w:r>
      <w:r w:rsidR="008E3B6E">
        <w:rPr>
          <w:rFonts w:ascii="Times New Roman" w:hAnsi="Times New Roman" w:cs="Times New Roman"/>
        </w:rPr>
        <w:t>Figure 6 also presents an event study model of ISD-level special education expenditures, and this provides some evidence that expenditures for special education at the ISD-level increase over time.</w:t>
      </w:r>
      <w:r w:rsidR="00F6719F">
        <w:rPr>
          <w:rFonts w:ascii="Times New Roman" w:hAnsi="Times New Roman" w:cs="Times New Roman"/>
        </w:rPr>
        <w:t xml:space="preserve"> Notably however, most alternative specifications of this </w:t>
      </w:r>
      <w:r w:rsidR="00F6719F">
        <w:rPr>
          <w:rFonts w:ascii="Times New Roman" w:hAnsi="Times New Roman" w:cs="Times New Roman"/>
        </w:rPr>
        <w:lastRenderedPageBreak/>
        <w:t>model in Appendi</w:t>
      </w:r>
      <w:r w:rsidR="005744A1">
        <w:rPr>
          <w:rFonts w:ascii="Times New Roman" w:hAnsi="Times New Roman" w:cs="Times New Roman"/>
        </w:rPr>
        <w:t>x</w:t>
      </w:r>
      <w:r w:rsidR="00F6719F">
        <w:rPr>
          <w:rFonts w:ascii="Times New Roman" w:hAnsi="Times New Roman" w:cs="Times New Roman"/>
        </w:rPr>
        <w:t xml:space="preserve"> </w:t>
      </w:r>
      <w:r w:rsidR="000B3D1F">
        <w:rPr>
          <w:rFonts w:ascii="Times New Roman" w:hAnsi="Times New Roman" w:cs="Times New Roman"/>
        </w:rPr>
        <w:t xml:space="preserve">Table A3 </w:t>
      </w:r>
      <w:r w:rsidR="00F6719F">
        <w:rPr>
          <w:rFonts w:ascii="Times New Roman" w:hAnsi="Times New Roman" w:cs="Times New Roman"/>
        </w:rPr>
        <w:t xml:space="preserve">are not robust. This suggests that the average ISD might increase </w:t>
      </w:r>
      <w:r w:rsidR="009E38E2">
        <w:rPr>
          <w:rFonts w:ascii="Times New Roman" w:hAnsi="Times New Roman" w:cs="Times New Roman"/>
        </w:rPr>
        <w:t xml:space="preserve">total </w:t>
      </w:r>
      <w:r w:rsidR="00F6719F">
        <w:rPr>
          <w:rFonts w:ascii="Times New Roman" w:hAnsi="Times New Roman" w:cs="Times New Roman"/>
        </w:rPr>
        <w:t>special education spending slightly following the tax change, but the effect varies dramatically by ISD.</w:t>
      </w:r>
    </w:p>
    <w:p w14:paraId="4CAF8B82" w14:textId="39E62E07" w:rsidR="001E68FF" w:rsidRDefault="001E68FF" w:rsidP="001E68FF">
      <w:pPr>
        <w:spacing w:after="0" w:line="480" w:lineRule="auto"/>
        <w:ind w:firstLine="720"/>
        <w:rPr>
          <w:rFonts w:ascii="Times New Roman" w:hAnsi="Times New Roman" w:cs="Times New Roman"/>
        </w:rPr>
      </w:pPr>
      <w:r>
        <w:rPr>
          <w:rFonts w:ascii="Times New Roman" w:hAnsi="Times New Roman" w:cs="Times New Roman"/>
        </w:rPr>
        <w:t xml:space="preserve">Considering transfers of special education revenues, columns (3) and (4) present linear and quadratic models of the effects of special education property taxes as well. </w:t>
      </w:r>
      <w:r w:rsidR="008E3B6E">
        <w:rPr>
          <w:rFonts w:ascii="Times New Roman" w:hAnsi="Times New Roman" w:cs="Times New Roman"/>
        </w:rPr>
        <w:t xml:space="preserve">Using a linear functional form of the treatment variable, Column (3) of Table 4 indicates that ISDs increase transfers of special education funding to school districts by $195 per mill of increased property tax. This comprises </w:t>
      </w:r>
      <w:proofErr w:type="gramStart"/>
      <w:r w:rsidR="008E3B6E">
        <w:rPr>
          <w:rFonts w:ascii="Times New Roman" w:hAnsi="Times New Roman" w:cs="Times New Roman"/>
        </w:rPr>
        <w:t>the majority of</w:t>
      </w:r>
      <w:proofErr w:type="gramEnd"/>
      <w:r w:rsidR="008E3B6E">
        <w:rPr>
          <w:rFonts w:ascii="Times New Roman" w:hAnsi="Times New Roman" w:cs="Times New Roman"/>
        </w:rPr>
        <w:t xml:space="preserve"> the increased property tax revenue. </w:t>
      </w:r>
      <w:r w:rsidR="00F6719F">
        <w:rPr>
          <w:rFonts w:ascii="Times New Roman" w:hAnsi="Times New Roman" w:cs="Times New Roman"/>
        </w:rPr>
        <w:t xml:space="preserve">This suggests that ISs primarily use special education property tax revenue to support their constituent school districts. </w:t>
      </w:r>
      <w:r>
        <w:rPr>
          <w:rFonts w:ascii="Times New Roman" w:hAnsi="Times New Roman" w:cs="Times New Roman"/>
        </w:rPr>
        <w:t xml:space="preserve">This may not be surprising. By transferring revenues, </w:t>
      </w:r>
      <w:r w:rsidR="00E14F02">
        <w:rPr>
          <w:rFonts w:ascii="Times New Roman" w:hAnsi="Times New Roman" w:cs="Times New Roman"/>
        </w:rPr>
        <w:t>ISDs can alleviate the financial requirements of local school districts to support special education from general revenues. Disbursing additional revenues to local school districts could also increase the targeting of spending to align with local needs.</w:t>
      </w:r>
      <w:r w:rsidR="008E3B6E">
        <w:rPr>
          <w:rFonts w:ascii="Times New Roman" w:hAnsi="Times New Roman" w:cs="Times New Roman"/>
        </w:rPr>
        <w:t xml:space="preserve"> </w:t>
      </w:r>
    </w:p>
    <w:p w14:paraId="362F4F1E" w14:textId="16FD09E4" w:rsidR="00D67708" w:rsidRDefault="00A42BB5" w:rsidP="001E68FF">
      <w:pPr>
        <w:spacing w:after="0" w:line="480" w:lineRule="auto"/>
        <w:ind w:firstLine="720"/>
        <w:rPr>
          <w:rFonts w:ascii="Times New Roman" w:hAnsi="Times New Roman" w:cs="Times New Roman"/>
        </w:rPr>
      </w:pPr>
      <w:r>
        <w:rPr>
          <w:rFonts w:ascii="Times New Roman" w:hAnsi="Times New Roman" w:cs="Times New Roman"/>
        </w:rPr>
        <w:t xml:space="preserve">I provide robustness checks of the effects of earmarked property taxes for special education transfers </w:t>
      </w:r>
      <w:r w:rsidR="000B3D1F">
        <w:rPr>
          <w:rFonts w:ascii="Times New Roman" w:hAnsi="Times New Roman" w:cs="Times New Roman"/>
        </w:rPr>
        <w:t xml:space="preserve">to local school districts </w:t>
      </w:r>
      <w:r>
        <w:rPr>
          <w:rFonts w:ascii="Times New Roman" w:hAnsi="Times New Roman" w:cs="Times New Roman"/>
        </w:rPr>
        <w:t xml:space="preserve">in Appendix </w:t>
      </w:r>
      <w:r w:rsidR="000B3D1F">
        <w:rPr>
          <w:rFonts w:ascii="Times New Roman" w:hAnsi="Times New Roman" w:cs="Times New Roman"/>
        </w:rPr>
        <w:t xml:space="preserve">Table </w:t>
      </w:r>
      <w:r>
        <w:rPr>
          <w:rFonts w:ascii="Times New Roman" w:hAnsi="Times New Roman" w:cs="Times New Roman"/>
        </w:rPr>
        <w:t>A4.</w:t>
      </w:r>
      <w:r w:rsidR="008E3B6E">
        <w:rPr>
          <w:rStyle w:val="FootnoteReference"/>
          <w:rFonts w:ascii="Times New Roman" w:hAnsi="Times New Roman" w:cs="Times New Roman"/>
        </w:rPr>
        <w:footnoteReference w:id="20"/>
      </w:r>
      <w:r>
        <w:rPr>
          <w:rFonts w:ascii="Times New Roman" w:hAnsi="Times New Roman" w:cs="Times New Roman"/>
        </w:rPr>
        <w:t xml:space="preserve"> </w:t>
      </w:r>
      <w:r w:rsidR="00C21315">
        <w:rPr>
          <w:rFonts w:ascii="Times New Roman" w:hAnsi="Times New Roman" w:cs="Times New Roman"/>
        </w:rPr>
        <w:t>Appendix Table A4 presents corresponding robustness checks for ISD-level transfers of special education revenues to local school districts. In contrast to Appendix Table A3, almost all robustness checks remain positive and significant, although estimates vary in magnitude.</w:t>
      </w:r>
      <w:r w:rsidR="00F61C7B">
        <w:rPr>
          <w:rFonts w:ascii="Times New Roman" w:hAnsi="Times New Roman" w:cs="Times New Roman"/>
        </w:rPr>
        <w:t xml:space="preserve"> </w:t>
      </w:r>
      <w:r w:rsidR="00EE0412">
        <w:rPr>
          <w:rFonts w:ascii="Times New Roman" w:hAnsi="Times New Roman" w:cs="Times New Roman"/>
        </w:rPr>
        <w:t>U</w:t>
      </w:r>
      <w:r w:rsidR="00F61C7B">
        <w:rPr>
          <w:rFonts w:ascii="Times New Roman" w:hAnsi="Times New Roman" w:cs="Times New Roman"/>
        </w:rPr>
        <w:t>sing a synthetic model return</w:t>
      </w:r>
      <w:r w:rsidR="00EE0412">
        <w:rPr>
          <w:rFonts w:ascii="Times New Roman" w:hAnsi="Times New Roman" w:cs="Times New Roman"/>
        </w:rPr>
        <w:t>s</w:t>
      </w:r>
      <w:r w:rsidR="00F61C7B">
        <w:rPr>
          <w:rFonts w:ascii="Times New Roman" w:hAnsi="Times New Roman" w:cs="Times New Roman"/>
        </w:rPr>
        <w:t xml:space="preserve"> </w:t>
      </w:r>
      <w:r w:rsidR="00EE0412">
        <w:rPr>
          <w:rFonts w:ascii="Times New Roman" w:hAnsi="Times New Roman" w:cs="Times New Roman"/>
        </w:rPr>
        <w:t xml:space="preserve">an </w:t>
      </w:r>
      <w:r w:rsidR="00F61C7B">
        <w:rPr>
          <w:rFonts w:ascii="Times New Roman" w:hAnsi="Times New Roman" w:cs="Times New Roman"/>
        </w:rPr>
        <w:t>insignificant estimate, although th</w:t>
      </w:r>
      <w:r w:rsidR="00EE0412">
        <w:rPr>
          <w:rFonts w:ascii="Times New Roman" w:hAnsi="Times New Roman" w:cs="Times New Roman"/>
        </w:rPr>
        <w:t>is</w:t>
      </w:r>
      <w:r w:rsidR="00F61C7B">
        <w:rPr>
          <w:rFonts w:ascii="Times New Roman" w:hAnsi="Times New Roman" w:cs="Times New Roman"/>
        </w:rPr>
        <w:t xml:space="preserve"> may be due to the smaller sample size </w:t>
      </w:r>
      <w:r w:rsidR="00EE0412">
        <w:rPr>
          <w:rFonts w:ascii="Times New Roman" w:hAnsi="Times New Roman" w:cs="Times New Roman"/>
        </w:rPr>
        <w:t>in</w:t>
      </w:r>
      <w:r w:rsidR="00F61C7B">
        <w:rPr>
          <w:rFonts w:ascii="Times New Roman" w:hAnsi="Times New Roman" w:cs="Times New Roman"/>
        </w:rPr>
        <w:t xml:space="preserve"> th</w:t>
      </w:r>
      <w:r w:rsidR="00EE0412">
        <w:rPr>
          <w:rFonts w:ascii="Times New Roman" w:hAnsi="Times New Roman" w:cs="Times New Roman"/>
        </w:rPr>
        <w:t>is</w:t>
      </w:r>
      <w:r w:rsidR="00F61C7B">
        <w:rPr>
          <w:rFonts w:ascii="Times New Roman" w:hAnsi="Times New Roman" w:cs="Times New Roman"/>
        </w:rPr>
        <w:t xml:space="preserve"> </w:t>
      </w:r>
      <w:r w:rsidR="00EE0412">
        <w:rPr>
          <w:rFonts w:ascii="Times New Roman" w:hAnsi="Times New Roman" w:cs="Times New Roman"/>
        </w:rPr>
        <w:t>model</w:t>
      </w:r>
      <w:r w:rsidR="00F61C7B">
        <w:rPr>
          <w:rFonts w:ascii="Times New Roman" w:hAnsi="Times New Roman" w:cs="Times New Roman"/>
        </w:rPr>
        <w:t>.</w:t>
      </w:r>
    </w:p>
    <w:p w14:paraId="1B850655" w14:textId="3FB55AAD" w:rsidR="00455157" w:rsidRDefault="00455157" w:rsidP="00455157">
      <w:pPr>
        <w:spacing w:after="0" w:line="480" w:lineRule="auto"/>
        <w:rPr>
          <w:rFonts w:ascii="Times New Roman" w:hAnsi="Times New Roman" w:cs="Times New Roman"/>
        </w:rPr>
      </w:pPr>
      <w:r>
        <w:rPr>
          <w:rFonts w:ascii="Times New Roman" w:hAnsi="Times New Roman" w:cs="Times New Roman"/>
        </w:rPr>
        <w:tab/>
        <w:t>While the lack of robustness for special education spending may be surprising, total expenditures for special education could obscure changes in the composition of spending as well. To explore this</w:t>
      </w:r>
      <w:r w:rsidR="00397F9A">
        <w:rPr>
          <w:rFonts w:ascii="Times New Roman" w:hAnsi="Times New Roman" w:cs="Times New Roman"/>
        </w:rPr>
        <w:t xml:space="preserve"> mechanism</w:t>
      </w:r>
      <w:r>
        <w:rPr>
          <w:rFonts w:ascii="Times New Roman" w:hAnsi="Times New Roman" w:cs="Times New Roman"/>
        </w:rPr>
        <w:t xml:space="preserve">, Table A5 estimates changes in ISD-level per pupil special education </w:t>
      </w:r>
      <w:r>
        <w:rPr>
          <w:rFonts w:ascii="Times New Roman" w:hAnsi="Times New Roman" w:cs="Times New Roman"/>
        </w:rPr>
        <w:lastRenderedPageBreak/>
        <w:t>spending separated by educational purposes following the adoption of an earmarked property tax. This table suggests that changes in spending are comprised of increases in salaries and benefits and corresponding decreases in expenditures for purchased services and supplies</w:t>
      </w:r>
      <w:r w:rsidR="00500FF6">
        <w:rPr>
          <w:rFonts w:ascii="Times New Roman" w:hAnsi="Times New Roman" w:cs="Times New Roman"/>
        </w:rPr>
        <w:t>. This suggests that increases in earmarked special education funding may translate into salary increases and potentially hiring changes that may not change affect aggregate spending.</w:t>
      </w:r>
    </w:p>
    <w:p w14:paraId="7454242D" w14:textId="5C6D680D" w:rsidR="00F61C7B" w:rsidRPr="00F61C7B" w:rsidRDefault="00F61C7B" w:rsidP="00F61C7B">
      <w:pPr>
        <w:spacing w:after="0" w:line="480" w:lineRule="auto"/>
        <w:rPr>
          <w:rFonts w:ascii="Times New Roman" w:hAnsi="Times New Roman" w:cs="Times New Roman"/>
          <w:i/>
          <w:iCs/>
        </w:rPr>
      </w:pPr>
      <w:r>
        <w:rPr>
          <w:rFonts w:ascii="Times New Roman" w:hAnsi="Times New Roman" w:cs="Times New Roman"/>
          <w:i/>
          <w:iCs/>
        </w:rPr>
        <w:t>Impacts on Local School District Finances</w:t>
      </w:r>
    </w:p>
    <w:p w14:paraId="2DDFFA39" w14:textId="4DB22DFA" w:rsidR="00594458" w:rsidRDefault="00594458" w:rsidP="001E68FF">
      <w:pPr>
        <w:spacing w:after="0" w:line="480" w:lineRule="auto"/>
        <w:ind w:firstLine="720"/>
        <w:rPr>
          <w:rFonts w:ascii="Times New Roman" w:hAnsi="Times New Roman" w:cs="Times New Roman"/>
        </w:rPr>
      </w:pPr>
      <w:r>
        <w:rPr>
          <w:rFonts w:ascii="Times New Roman" w:hAnsi="Times New Roman" w:cs="Times New Roman"/>
        </w:rPr>
        <w:t xml:space="preserve">To understand the effects of additional transfers of special education dollars at the local level, I re-estimate Equation (1) with a school district-level sample. This sample is comprised of the </w:t>
      </w:r>
      <w:proofErr w:type="gramStart"/>
      <w:r>
        <w:rPr>
          <w:rFonts w:ascii="Times New Roman" w:hAnsi="Times New Roman" w:cs="Times New Roman"/>
        </w:rPr>
        <w:t>public school</w:t>
      </w:r>
      <w:proofErr w:type="gramEnd"/>
      <w:r>
        <w:rPr>
          <w:rFonts w:ascii="Times New Roman" w:hAnsi="Times New Roman" w:cs="Times New Roman"/>
        </w:rPr>
        <w:t xml:space="preserve"> districts within ISDs in my main analytic sample, and I remove charter school districts from this sample as they have different financial structures and abilities to support special education.</w:t>
      </w:r>
      <w:r w:rsidR="00855A36">
        <w:rPr>
          <w:rStyle w:val="FootnoteReference"/>
          <w:rFonts w:ascii="Times New Roman" w:hAnsi="Times New Roman" w:cs="Times New Roman"/>
        </w:rPr>
        <w:footnoteReference w:id="21"/>
      </w:r>
      <w:r w:rsidR="00E713CD">
        <w:rPr>
          <w:rFonts w:ascii="Times New Roman" w:hAnsi="Times New Roman" w:cs="Times New Roman"/>
        </w:rPr>
        <w:t xml:space="preserve"> </w:t>
      </w:r>
      <w:r w:rsidR="00886A77">
        <w:rPr>
          <w:rFonts w:ascii="Times New Roman" w:hAnsi="Times New Roman" w:cs="Times New Roman"/>
        </w:rPr>
        <w:t xml:space="preserve">In addition, I remove observations for one school district that appears to have extremely high outlying special education expenditures. </w:t>
      </w:r>
      <w:r w:rsidR="001B6D13">
        <w:rPr>
          <w:rFonts w:ascii="Times New Roman" w:hAnsi="Times New Roman" w:cs="Times New Roman"/>
        </w:rPr>
        <w:t>Appendix Table A1 provides a summary of the sample data for these school districts.</w:t>
      </w:r>
    </w:p>
    <w:p w14:paraId="5302C8C8" w14:textId="688174B6" w:rsidR="000B3D1F" w:rsidRDefault="00594458" w:rsidP="001E68FF">
      <w:pPr>
        <w:spacing w:after="0" w:line="480" w:lineRule="auto"/>
        <w:ind w:firstLine="720"/>
        <w:rPr>
          <w:rFonts w:ascii="Times New Roman" w:hAnsi="Times New Roman" w:cs="Times New Roman"/>
        </w:rPr>
      </w:pPr>
      <w:r>
        <w:rPr>
          <w:rFonts w:ascii="Times New Roman" w:hAnsi="Times New Roman" w:cs="Times New Roman"/>
        </w:rPr>
        <w:t xml:space="preserve">Table 5 </w:t>
      </w:r>
      <w:r w:rsidR="000B3D1F">
        <w:rPr>
          <w:rFonts w:ascii="Times New Roman" w:hAnsi="Times New Roman" w:cs="Times New Roman"/>
        </w:rPr>
        <w:t xml:space="preserve">presents estimates using local school district per pupil special education expenditures and non-special education expenditures as outcomes. </w:t>
      </w:r>
      <w:r w:rsidR="000674E9">
        <w:rPr>
          <w:rFonts w:ascii="Times New Roman" w:hAnsi="Times New Roman" w:cs="Times New Roman"/>
        </w:rPr>
        <w:t xml:space="preserve">These models use the same estimating equations as the ISD models, although these are weighted by school district-level enrollment and they use school district fixed effects. </w:t>
      </w:r>
      <w:r w:rsidR="00E14F02">
        <w:rPr>
          <w:rFonts w:ascii="Times New Roman" w:hAnsi="Times New Roman" w:cs="Times New Roman"/>
        </w:rPr>
        <w:t xml:space="preserve">As these school districts receive additional funding </w:t>
      </w:r>
      <w:r w:rsidR="00BC464F">
        <w:rPr>
          <w:rFonts w:ascii="Times New Roman" w:hAnsi="Times New Roman" w:cs="Times New Roman"/>
        </w:rPr>
        <w:t>for special education from the ISD, this additional funding could enable them to change spending patterns to align with new revenues.</w:t>
      </w:r>
      <w:r w:rsidR="00BC464F">
        <w:rPr>
          <w:rStyle w:val="FootnoteReference"/>
          <w:rFonts w:ascii="Times New Roman" w:hAnsi="Times New Roman" w:cs="Times New Roman"/>
        </w:rPr>
        <w:footnoteReference w:id="22"/>
      </w:r>
      <w:r w:rsidR="00BC464F">
        <w:rPr>
          <w:rFonts w:ascii="Times New Roman" w:hAnsi="Times New Roman" w:cs="Times New Roman"/>
        </w:rPr>
        <w:t xml:space="preserve"> </w:t>
      </w:r>
    </w:p>
    <w:p w14:paraId="0685CB64" w14:textId="4F783E81" w:rsidR="004C171A" w:rsidRDefault="00BC464F" w:rsidP="001E68FF">
      <w:pPr>
        <w:spacing w:after="0" w:line="480" w:lineRule="auto"/>
        <w:ind w:firstLine="720"/>
        <w:rPr>
          <w:rFonts w:ascii="Times New Roman" w:hAnsi="Times New Roman" w:cs="Times New Roman"/>
        </w:rPr>
      </w:pPr>
      <w:r>
        <w:rPr>
          <w:rFonts w:ascii="Times New Roman" w:hAnsi="Times New Roman" w:cs="Times New Roman"/>
        </w:rPr>
        <w:lastRenderedPageBreak/>
        <w:t xml:space="preserve">Columns (1) and (2) of </w:t>
      </w:r>
      <w:r w:rsidR="004C171A">
        <w:rPr>
          <w:rFonts w:ascii="Times New Roman" w:hAnsi="Times New Roman" w:cs="Times New Roman"/>
        </w:rPr>
        <w:t xml:space="preserve">Table 5 </w:t>
      </w:r>
      <w:r>
        <w:rPr>
          <w:rFonts w:ascii="Times New Roman" w:hAnsi="Times New Roman" w:cs="Times New Roman"/>
        </w:rPr>
        <w:t xml:space="preserve">estimate the effects of new property taxes on per pupil special education expenditures at the school district-level. I do not find any change in special education spending using either model. These models indicate that the adoption of a new property tax for special education has a negligible impact on school district-level spending for special education. </w:t>
      </w:r>
    </w:p>
    <w:p w14:paraId="05DFF15A" w14:textId="4155DF79" w:rsidR="004C171A" w:rsidRDefault="00BC464F" w:rsidP="00735945">
      <w:pPr>
        <w:spacing w:after="0" w:line="480" w:lineRule="auto"/>
        <w:ind w:firstLine="720"/>
        <w:rPr>
          <w:rFonts w:ascii="Times New Roman" w:hAnsi="Times New Roman" w:cs="Times New Roman"/>
        </w:rPr>
      </w:pPr>
      <w:r>
        <w:rPr>
          <w:rFonts w:ascii="Times New Roman" w:hAnsi="Times New Roman" w:cs="Times New Roman"/>
        </w:rPr>
        <w:t>In contrast</w:t>
      </w:r>
      <w:r w:rsidR="004C171A">
        <w:rPr>
          <w:rFonts w:ascii="Times New Roman" w:hAnsi="Times New Roman" w:cs="Times New Roman"/>
        </w:rPr>
        <w:t xml:space="preserve"> to special education expenditures</w:t>
      </w:r>
      <w:r>
        <w:rPr>
          <w:rFonts w:ascii="Times New Roman" w:hAnsi="Times New Roman" w:cs="Times New Roman"/>
        </w:rPr>
        <w:t xml:space="preserve">, columns (3) and (4) of this table present estimates of the adoption of a new property tax on per pupil expenditures for non-special education functions, and I find positive and significant estimates in both specifications. The linear model in column (3) of Table 5 indicates that a 1 mill increase </w:t>
      </w:r>
      <w:r w:rsidR="000B3D1F">
        <w:rPr>
          <w:rFonts w:ascii="Times New Roman" w:hAnsi="Times New Roman" w:cs="Times New Roman"/>
        </w:rPr>
        <w:t>in</w:t>
      </w:r>
      <w:r>
        <w:rPr>
          <w:rFonts w:ascii="Times New Roman" w:hAnsi="Times New Roman" w:cs="Times New Roman"/>
        </w:rPr>
        <w:t xml:space="preserve"> special education </w:t>
      </w:r>
      <w:r w:rsidR="000B3D1F">
        <w:rPr>
          <w:rFonts w:ascii="Times New Roman" w:hAnsi="Times New Roman" w:cs="Times New Roman"/>
        </w:rPr>
        <w:t xml:space="preserve">property taxes </w:t>
      </w:r>
      <w:r>
        <w:rPr>
          <w:rFonts w:ascii="Times New Roman" w:hAnsi="Times New Roman" w:cs="Times New Roman"/>
        </w:rPr>
        <w:t>causes local school districts to spend $305 more per pupil for non-special education purposes</w:t>
      </w:r>
      <w:r w:rsidR="00FD0F5F">
        <w:rPr>
          <w:rFonts w:ascii="Times New Roman" w:hAnsi="Times New Roman" w:cs="Times New Roman"/>
        </w:rPr>
        <w:t>, and the quadratic model in column (4) estimates a smaller $141 increase in spending</w:t>
      </w:r>
      <w:r>
        <w:rPr>
          <w:rFonts w:ascii="Times New Roman" w:hAnsi="Times New Roman" w:cs="Times New Roman"/>
        </w:rPr>
        <w:t xml:space="preserve">. This suggests that school districts </w:t>
      </w:r>
      <w:r w:rsidR="000B3D1F">
        <w:rPr>
          <w:rFonts w:ascii="Times New Roman" w:hAnsi="Times New Roman" w:cs="Times New Roman"/>
        </w:rPr>
        <w:t>may</w:t>
      </w:r>
      <w:r>
        <w:rPr>
          <w:rFonts w:ascii="Times New Roman" w:hAnsi="Times New Roman" w:cs="Times New Roman"/>
        </w:rPr>
        <w:t xml:space="preserve"> not use additional revenues to increase spending for special education, but rather additional revenues replace expenditures that would have previously been used for special education.</w:t>
      </w:r>
    </w:p>
    <w:p w14:paraId="44F3D2E5" w14:textId="551970F5" w:rsidR="00352030" w:rsidRDefault="00352030" w:rsidP="000B3D1F">
      <w:pPr>
        <w:spacing w:after="0" w:line="480" w:lineRule="auto"/>
        <w:ind w:firstLine="720"/>
        <w:rPr>
          <w:rFonts w:ascii="Times New Roman" w:hAnsi="Times New Roman" w:cs="Times New Roman"/>
        </w:rPr>
      </w:pPr>
      <w:r>
        <w:rPr>
          <w:rFonts w:ascii="Times New Roman" w:hAnsi="Times New Roman" w:cs="Times New Roman"/>
        </w:rPr>
        <w:t>To explore these non-special education expenditures further, Table 6 separates non-special education expenditures from column (3) of Table 5 by educational purpose including salaries, benefits, purchased services, supplies, and transfers to other districts or ISDs, and other expenditures including debt service.</w:t>
      </w:r>
      <w:r w:rsidR="00B67C95">
        <w:rPr>
          <w:rStyle w:val="FootnoteReference"/>
          <w:rFonts w:ascii="Times New Roman" w:hAnsi="Times New Roman" w:cs="Times New Roman"/>
        </w:rPr>
        <w:footnoteReference w:id="23"/>
      </w:r>
      <w:r>
        <w:rPr>
          <w:rFonts w:ascii="Times New Roman" w:hAnsi="Times New Roman" w:cs="Times New Roman"/>
        </w:rPr>
        <w:t xml:space="preserve"> This table reveals substantial variation in non-special education expenditure</w:t>
      </w:r>
      <w:r w:rsidR="000540FE">
        <w:rPr>
          <w:rFonts w:ascii="Times New Roman" w:hAnsi="Times New Roman" w:cs="Times New Roman"/>
        </w:rPr>
        <w:t xml:space="preserve"> trends following the adoption of the property tax. Following a 1 mill property tax increase for special education, school districts would be expected to increase spending on salaries, benefits, and transfers to other school districts and ISDs, and they would be expected to decrease expenditures on purchased services. If school districts were previously </w:t>
      </w:r>
      <w:r w:rsidR="000540FE">
        <w:rPr>
          <w:rFonts w:ascii="Times New Roman" w:hAnsi="Times New Roman" w:cs="Times New Roman"/>
        </w:rPr>
        <w:lastRenderedPageBreak/>
        <w:t xml:space="preserve">contracting out services to private companies, this may reflect </w:t>
      </w:r>
      <w:r w:rsidR="000B3D1F">
        <w:rPr>
          <w:rFonts w:ascii="Times New Roman" w:hAnsi="Times New Roman" w:cs="Times New Roman"/>
        </w:rPr>
        <w:t xml:space="preserve">more centralized </w:t>
      </w:r>
      <w:r w:rsidR="000540FE">
        <w:rPr>
          <w:rFonts w:ascii="Times New Roman" w:hAnsi="Times New Roman" w:cs="Times New Roman"/>
        </w:rPr>
        <w:t xml:space="preserve">resources </w:t>
      </w:r>
      <w:r w:rsidR="000B3D1F">
        <w:rPr>
          <w:rFonts w:ascii="Times New Roman" w:hAnsi="Times New Roman" w:cs="Times New Roman"/>
        </w:rPr>
        <w:t xml:space="preserve">for special education </w:t>
      </w:r>
      <w:r w:rsidR="000540FE">
        <w:rPr>
          <w:rFonts w:ascii="Times New Roman" w:hAnsi="Times New Roman" w:cs="Times New Roman"/>
        </w:rPr>
        <w:t xml:space="preserve">following the tax change. In addition, if </w:t>
      </w:r>
      <w:r w:rsidR="003D38A4">
        <w:rPr>
          <w:rFonts w:ascii="Times New Roman" w:hAnsi="Times New Roman" w:cs="Times New Roman"/>
        </w:rPr>
        <w:t>ISDs provide greater services following the adoption of the property tax change for special education or other programs, then this could explain the increase in expenditures for transfers to districts and ISDs following the change.</w:t>
      </w:r>
    </w:p>
    <w:p w14:paraId="1CEA6D7C" w14:textId="56FC2B35" w:rsidR="000B3D1F" w:rsidRDefault="00772CDA" w:rsidP="000B3D1F">
      <w:pPr>
        <w:spacing w:after="0" w:line="480" w:lineRule="auto"/>
        <w:ind w:firstLine="720"/>
        <w:rPr>
          <w:rFonts w:ascii="Times New Roman" w:hAnsi="Times New Roman" w:cs="Times New Roman"/>
        </w:rPr>
      </w:pPr>
      <w:r>
        <w:rPr>
          <w:rFonts w:ascii="Times New Roman" w:hAnsi="Times New Roman" w:cs="Times New Roman"/>
        </w:rPr>
        <w:t>I explore potential heterogenous effects of local property tax adoption on spending i</w:t>
      </w:r>
      <w:r w:rsidR="000B3D1F">
        <w:rPr>
          <w:rFonts w:ascii="Times New Roman" w:hAnsi="Times New Roman" w:cs="Times New Roman"/>
        </w:rPr>
        <w:t xml:space="preserve">n </w:t>
      </w:r>
      <w:r>
        <w:rPr>
          <w:rFonts w:ascii="Times New Roman" w:hAnsi="Times New Roman" w:cs="Times New Roman"/>
        </w:rPr>
        <w:t xml:space="preserve">Appendix </w:t>
      </w:r>
      <w:r w:rsidR="000B3D1F">
        <w:rPr>
          <w:rFonts w:ascii="Times New Roman" w:hAnsi="Times New Roman" w:cs="Times New Roman"/>
        </w:rPr>
        <w:t xml:space="preserve">Table </w:t>
      </w:r>
      <w:r>
        <w:rPr>
          <w:rFonts w:ascii="Times New Roman" w:hAnsi="Times New Roman" w:cs="Times New Roman"/>
        </w:rPr>
        <w:t>A</w:t>
      </w:r>
      <w:r w:rsidR="00500FF6">
        <w:rPr>
          <w:rFonts w:ascii="Times New Roman" w:hAnsi="Times New Roman" w:cs="Times New Roman"/>
        </w:rPr>
        <w:t>8</w:t>
      </w:r>
      <w:r>
        <w:rPr>
          <w:rFonts w:ascii="Times New Roman" w:hAnsi="Times New Roman" w:cs="Times New Roman"/>
        </w:rPr>
        <w:t xml:space="preserve">. Here, </w:t>
      </w:r>
      <w:r w:rsidR="000B3D1F">
        <w:rPr>
          <w:rFonts w:ascii="Times New Roman" w:hAnsi="Times New Roman" w:cs="Times New Roman"/>
        </w:rPr>
        <w:t>I re-estimate the models in Table 6 separately for school districts</w:t>
      </w:r>
      <w:r w:rsidR="00201A3C">
        <w:rPr>
          <w:rFonts w:ascii="Times New Roman" w:hAnsi="Times New Roman" w:cs="Times New Roman"/>
        </w:rPr>
        <w:t xml:space="preserve"> interacting the treatment indicator with a binary indicator for whether school districts are rural. This table reveals substantial heterogeneity of spending effects by district characteristics. Rural school districts tend to increase non-special education salaries following the property tax change, although there is a more muted change in expenditures for purchased services and transfers of resources back to the ISD. This indicates that spending effects may be the largest in urban or suburban school districts where ISDs find returns to scale from additional investment in special education.</w:t>
      </w:r>
    </w:p>
    <w:p w14:paraId="1BE715B3" w14:textId="0C601D6A" w:rsidR="00C42F15" w:rsidRDefault="00C42F15" w:rsidP="00735945">
      <w:pPr>
        <w:spacing w:after="0" w:line="480" w:lineRule="auto"/>
        <w:ind w:firstLine="720"/>
        <w:rPr>
          <w:rFonts w:ascii="Times New Roman" w:hAnsi="Times New Roman" w:cs="Times New Roman"/>
        </w:rPr>
      </w:pPr>
      <w:r>
        <w:rPr>
          <w:rFonts w:ascii="Times New Roman" w:hAnsi="Times New Roman" w:cs="Times New Roman"/>
        </w:rPr>
        <w:t>Applying the same theoretical framework as in Figure 4, the results in Table</w:t>
      </w:r>
      <w:r w:rsidR="00201A3C">
        <w:rPr>
          <w:rFonts w:ascii="Times New Roman" w:hAnsi="Times New Roman" w:cs="Times New Roman"/>
        </w:rPr>
        <w:t>s</w:t>
      </w:r>
      <w:r>
        <w:rPr>
          <w:rFonts w:ascii="Times New Roman" w:hAnsi="Times New Roman" w:cs="Times New Roman"/>
        </w:rPr>
        <w:t xml:space="preserve"> 5</w:t>
      </w:r>
      <w:r w:rsidR="00772CDA">
        <w:rPr>
          <w:rFonts w:ascii="Times New Roman" w:hAnsi="Times New Roman" w:cs="Times New Roman"/>
        </w:rPr>
        <w:t xml:space="preserve"> and 6</w:t>
      </w:r>
      <w:r>
        <w:rPr>
          <w:rFonts w:ascii="Times New Roman" w:hAnsi="Times New Roman" w:cs="Times New Roman"/>
        </w:rPr>
        <w:t xml:space="preserve"> indicate that</w:t>
      </w:r>
      <w:r w:rsidR="00201A3C">
        <w:rPr>
          <w:rFonts w:ascii="Times New Roman" w:hAnsi="Times New Roman" w:cs="Times New Roman"/>
        </w:rPr>
        <w:t xml:space="preserve"> additional</w:t>
      </w:r>
      <w:r>
        <w:rPr>
          <w:rFonts w:ascii="Times New Roman" w:hAnsi="Times New Roman" w:cs="Times New Roman"/>
        </w:rPr>
        <w:t xml:space="preserve"> </w:t>
      </w:r>
      <w:r w:rsidR="00201A3C">
        <w:rPr>
          <w:rFonts w:ascii="Times New Roman" w:hAnsi="Times New Roman" w:cs="Times New Roman"/>
        </w:rPr>
        <w:t>revenues for local school districts from earmarked special education property taxes are fungible. A</w:t>
      </w:r>
      <w:r>
        <w:rPr>
          <w:rFonts w:ascii="Times New Roman" w:hAnsi="Times New Roman" w:cs="Times New Roman"/>
        </w:rPr>
        <w:t xml:space="preserve">dditional revenues </w:t>
      </w:r>
      <w:r w:rsidR="00201A3C">
        <w:rPr>
          <w:rFonts w:ascii="Times New Roman" w:hAnsi="Times New Roman" w:cs="Times New Roman"/>
        </w:rPr>
        <w:t xml:space="preserve">are typically used to increase non-special education salaries and to </w:t>
      </w:r>
      <w:r w:rsidR="00262E8A">
        <w:rPr>
          <w:rFonts w:ascii="Times New Roman" w:hAnsi="Times New Roman" w:cs="Times New Roman"/>
        </w:rPr>
        <w:t>support additional programming at the ISD-level. To the extent that greater centralization of special education or other education functions supports students, this may be a valuable change for school leaders and policy makers.</w:t>
      </w:r>
    </w:p>
    <w:p w14:paraId="20AB8DD7" w14:textId="77777777" w:rsidR="00C42F15" w:rsidRDefault="00C42F15" w:rsidP="00735945">
      <w:pPr>
        <w:spacing w:after="0" w:line="480" w:lineRule="auto"/>
        <w:ind w:firstLine="720"/>
        <w:rPr>
          <w:rFonts w:ascii="Times New Roman" w:hAnsi="Times New Roman" w:cs="Times New Roman"/>
        </w:rPr>
      </w:pPr>
      <w:r>
        <w:rPr>
          <w:rFonts w:ascii="Times New Roman" w:hAnsi="Times New Roman" w:cs="Times New Roman"/>
        </w:rPr>
        <w:t xml:space="preserve">This research has two primary implications for research and policy. First, this adds to the literature on school district spending of unrestricted grants. Prior research finds that restricted education grants increase spending for the target function, but by less than the full amount of the </w:t>
      </w:r>
      <w:r>
        <w:rPr>
          <w:rFonts w:ascii="Times New Roman" w:hAnsi="Times New Roman" w:cs="Times New Roman"/>
        </w:rPr>
        <w:lastRenderedPageBreak/>
        <w:t xml:space="preserve">grant. I find a similar result in a context in which school districts cannot respond by decreasing local tax effort, and this is primarily due to “leakage” of grant funding to general funding purposes. This echoes findings by Addonizio (1997) and Fisher &amp; Papke (2000). </w:t>
      </w:r>
    </w:p>
    <w:p w14:paraId="6F9FA75C" w14:textId="141C489C" w:rsidR="00C42F15" w:rsidRDefault="00C42F15" w:rsidP="00735945">
      <w:pPr>
        <w:spacing w:after="0" w:line="480" w:lineRule="auto"/>
        <w:ind w:firstLine="720"/>
        <w:rPr>
          <w:rFonts w:ascii="Times New Roman" w:hAnsi="Times New Roman" w:cs="Times New Roman"/>
        </w:rPr>
      </w:pPr>
      <w:r>
        <w:rPr>
          <w:rFonts w:ascii="Times New Roman" w:hAnsi="Times New Roman" w:cs="Times New Roman"/>
        </w:rPr>
        <w:t xml:space="preserve">Regarding policy implications, policymakers working to increase funding for special education may need to increase funding dramatically to see change, or they may need to implement greater oversight of special education revenues at the local level. Given the strong legal protections for students with disabilities, this finding may indicate that ISDs and local school districts are already meeting their obligations to students prior to the tax change. Nevertheless, future research should also explore whether increase expenditures for special education improves outcomes for student with disabilities as well. If additional expenditures positively impact these students, then </w:t>
      </w:r>
      <w:r w:rsidR="00BE0E40">
        <w:rPr>
          <w:rFonts w:ascii="Times New Roman" w:hAnsi="Times New Roman" w:cs="Times New Roman"/>
        </w:rPr>
        <w:t>these positive impacts need to be weighed against positive impacts from increasing expenditures for students without disabilities as well.</w:t>
      </w:r>
    </w:p>
    <w:p w14:paraId="6C9C250C" w14:textId="41061B43" w:rsidR="00555E09" w:rsidRDefault="00555E09" w:rsidP="00555E09">
      <w:pPr>
        <w:spacing w:after="0" w:line="480" w:lineRule="auto"/>
        <w:rPr>
          <w:rFonts w:ascii="Times New Roman" w:hAnsi="Times New Roman" w:cs="Times New Roman"/>
          <w:b/>
          <w:bCs/>
        </w:rPr>
      </w:pPr>
      <w:r w:rsidRPr="00555E09">
        <w:rPr>
          <w:rFonts w:ascii="Times New Roman" w:hAnsi="Times New Roman" w:cs="Times New Roman"/>
          <w:b/>
          <w:bCs/>
        </w:rPr>
        <w:t>Conclusion</w:t>
      </w:r>
    </w:p>
    <w:p w14:paraId="1EBE1518" w14:textId="2CEED0A7" w:rsidR="00FE47DC" w:rsidRDefault="00FE47DC" w:rsidP="00FE47DC">
      <w:pPr>
        <w:spacing w:after="0" w:line="480" w:lineRule="auto"/>
        <w:ind w:firstLine="720"/>
        <w:rPr>
          <w:rFonts w:ascii="Times New Roman" w:hAnsi="Times New Roman" w:cs="Times New Roman"/>
        </w:rPr>
      </w:pPr>
      <w:r>
        <w:rPr>
          <w:rFonts w:ascii="Times New Roman" w:hAnsi="Times New Roman" w:cs="Times New Roman"/>
        </w:rPr>
        <w:t xml:space="preserve">Given the constraints on state and federal funding for special education, dedicated local property taxes represent an effective mechanism to support special education programs. Adopting new property taxes for special education increases local revenues for by $300-$400 per pupil on average, and these new revenues are observed immediately. ISDs use some of this additional funding ($124 per pupil on average in my preferred specification) for special education programs, and they transfer </w:t>
      </w:r>
      <w:proofErr w:type="gramStart"/>
      <w:r>
        <w:rPr>
          <w:rFonts w:ascii="Times New Roman" w:hAnsi="Times New Roman" w:cs="Times New Roman"/>
        </w:rPr>
        <w:t>the majority of</w:t>
      </w:r>
      <w:proofErr w:type="gramEnd"/>
      <w:r>
        <w:rPr>
          <w:rFonts w:ascii="Times New Roman" w:hAnsi="Times New Roman" w:cs="Times New Roman"/>
        </w:rPr>
        <w:t xml:space="preserve"> this funding ($195 in my preferred specification) to local school districts to support their special education programs.</w:t>
      </w:r>
    </w:p>
    <w:p w14:paraId="51ED9D15" w14:textId="27358F7C" w:rsidR="00FE47DC" w:rsidRDefault="00FE47DC" w:rsidP="00FE47DC">
      <w:pPr>
        <w:spacing w:after="0" w:line="480" w:lineRule="auto"/>
        <w:ind w:firstLine="720"/>
        <w:rPr>
          <w:rFonts w:ascii="Times New Roman" w:hAnsi="Times New Roman" w:cs="Times New Roman"/>
        </w:rPr>
      </w:pPr>
      <w:r>
        <w:rPr>
          <w:rFonts w:ascii="Times New Roman" w:hAnsi="Times New Roman" w:cs="Times New Roman"/>
        </w:rPr>
        <w:t>While local school districts observe immediate increases in revenues from the ISD-level transfers, they do not spend additional revenues on special education programs on average.</w:t>
      </w:r>
      <w:r w:rsidR="00262E8A">
        <w:rPr>
          <w:rFonts w:ascii="Times New Roman" w:hAnsi="Times New Roman" w:cs="Times New Roman"/>
        </w:rPr>
        <w:t xml:space="preserve"> </w:t>
      </w:r>
      <w:r>
        <w:rPr>
          <w:rFonts w:ascii="Times New Roman" w:hAnsi="Times New Roman" w:cs="Times New Roman"/>
        </w:rPr>
        <w:t xml:space="preserve">Instead, I find evidence that they </w:t>
      </w:r>
      <w:r w:rsidR="00262E8A">
        <w:rPr>
          <w:rFonts w:ascii="Times New Roman" w:hAnsi="Times New Roman" w:cs="Times New Roman"/>
        </w:rPr>
        <w:t xml:space="preserve">reallocate non-special education expenditures to increase </w:t>
      </w:r>
      <w:r w:rsidR="00262E8A">
        <w:rPr>
          <w:rFonts w:ascii="Times New Roman" w:hAnsi="Times New Roman" w:cs="Times New Roman"/>
        </w:rPr>
        <w:lastRenderedPageBreak/>
        <w:t xml:space="preserve">spending for non-special education salaries, and in urban and suburban districts, they increase transfers to other educational entities. This indicates that additional revenues support greater centralization of special education and other educational programs at the ISD-level, although this effect is not felt </w:t>
      </w:r>
      <w:r w:rsidR="00772CDA">
        <w:rPr>
          <w:rFonts w:ascii="Times New Roman" w:hAnsi="Times New Roman" w:cs="Times New Roman"/>
        </w:rPr>
        <w:t xml:space="preserve">as strongly </w:t>
      </w:r>
      <w:r w:rsidR="00262E8A">
        <w:rPr>
          <w:rFonts w:ascii="Times New Roman" w:hAnsi="Times New Roman" w:cs="Times New Roman"/>
        </w:rPr>
        <w:t>among rural school districts.</w:t>
      </w:r>
    </w:p>
    <w:p w14:paraId="18EEFADB" w14:textId="05CE3E3D" w:rsidR="00D9011B" w:rsidRDefault="00FE47DC" w:rsidP="00D0523E">
      <w:pPr>
        <w:spacing w:after="0" w:line="480" w:lineRule="auto"/>
        <w:ind w:firstLine="720"/>
        <w:rPr>
          <w:rFonts w:ascii="Times New Roman" w:hAnsi="Times New Roman" w:cs="Times New Roman"/>
        </w:rPr>
      </w:pPr>
      <w:r>
        <w:rPr>
          <w:rFonts w:ascii="Times New Roman" w:hAnsi="Times New Roman" w:cs="Times New Roman"/>
        </w:rPr>
        <w:t xml:space="preserve">While this finding may be counterintuitive, it is important to emphasize that this structure is entirely </w:t>
      </w:r>
      <w:r w:rsidR="00D0523E">
        <w:rPr>
          <w:rFonts w:ascii="Times New Roman" w:hAnsi="Times New Roman" w:cs="Times New Roman"/>
        </w:rPr>
        <w:t xml:space="preserve">legal and </w:t>
      </w:r>
      <w:r>
        <w:rPr>
          <w:rFonts w:ascii="Times New Roman" w:hAnsi="Times New Roman" w:cs="Times New Roman"/>
        </w:rPr>
        <w:t>sound. If anything, this suggests that local school districts already support special education to the extent required under IDEA and individualized education plans. As a result, additional funding offsets the resources being devoted to these programs and frees up funding to be spent in other areas.</w:t>
      </w:r>
      <w:r w:rsidR="00D70D5C">
        <w:rPr>
          <w:rFonts w:ascii="Times New Roman" w:hAnsi="Times New Roman" w:cs="Times New Roman"/>
        </w:rPr>
        <w:t xml:space="preserve"> That said, if policy makers aim to increase funding for special education through local funding mechanisms, then greater oversight may be required to ensure that funding is not used to offset current special education expenses. Alternatively, policy makers could also use state and federal funding for special education which </w:t>
      </w:r>
      <w:r w:rsidR="003F59D5">
        <w:rPr>
          <w:rFonts w:ascii="Times New Roman" w:hAnsi="Times New Roman" w:cs="Times New Roman"/>
        </w:rPr>
        <w:t>are</w:t>
      </w:r>
      <w:r w:rsidR="00D70D5C">
        <w:rPr>
          <w:rFonts w:ascii="Times New Roman" w:hAnsi="Times New Roman" w:cs="Times New Roman"/>
        </w:rPr>
        <w:t xml:space="preserve"> significantly more regulated than local dollars.</w:t>
      </w:r>
    </w:p>
    <w:p w14:paraId="432ABB67" w14:textId="77777777" w:rsidR="00627991" w:rsidRDefault="00627991" w:rsidP="00627991">
      <w:pPr>
        <w:spacing w:after="0" w:line="480" w:lineRule="auto"/>
        <w:rPr>
          <w:rFonts w:ascii="Times New Roman" w:hAnsi="Times New Roman" w:cs="Times New Roman"/>
        </w:rPr>
      </w:pPr>
    </w:p>
    <w:p w14:paraId="334819BF" w14:textId="77777777" w:rsidR="00627991" w:rsidRDefault="00627991" w:rsidP="00D0523E">
      <w:pPr>
        <w:spacing w:after="0" w:line="480" w:lineRule="auto"/>
        <w:ind w:firstLine="720"/>
        <w:rPr>
          <w:rFonts w:ascii="Times New Roman" w:hAnsi="Times New Roman" w:cs="Times New Roman"/>
        </w:rPr>
        <w:sectPr w:rsidR="00627991">
          <w:footerReference w:type="even" r:id="rId8"/>
          <w:footerReference w:type="default" r:id="rId9"/>
          <w:pgSz w:w="12240" w:h="15840"/>
          <w:pgMar w:top="1440" w:right="1440" w:bottom="1440" w:left="1440" w:header="720" w:footer="720" w:gutter="0"/>
          <w:cols w:space="720"/>
          <w:docGrid w:linePitch="360"/>
        </w:sectPr>
      </w:pPr>
    </w:p>
    <w:p w14:paraId="66ABE80E" w14:textId="404EC3B3" w:rsidR="00F5042E" w:rsidRPr="001B7E2B" w:rsidRDefault="00F5042E" w:rsidP="001B7E2B">
      <w:pPr>
        <w:spacing w:after="0" w:line="240" w:lineRule="auto"/>
        <w:ind w:left="720" w:hanging="720"/>
        <w:jc w:val="center"/>
        <w:rPr>
          <w:rFonts w:ascii="Times New Roman" w:eastAsia="Times New Roman" w:hAnsi="Times New Roman" w:cs="Times New Roman"/>
          <w:b/>
          <w:bCs/>
          <w:kern w:val="0"/>
          <w14:ligatures w14:val="none"/>
        </w:rPr>
      </w:pPr>
      <w:r w:rsidRPr="001B7E2B">
        <w:rPr>
          <w:rFonts w:ascii="Times New Roman" w:eastAsia="Times New Roman" w:hAnsi="Times New Roman" w:cs="Times New Roman"/>
          <w:b/>
          <w:bCs/>
          <w:kern w:val="0"/>
          <w14:ligatures w14:val="none"/>
        </w:rPr>
        <w:lastRenderedPageBreak/>
        <w:t>References</w:t>
      </w:r>
    </w:p>
    <w:p w14:paraId="050D9FB6"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Addonizio, M. F. (1997). The efficiency of state categorical funding for children educationally at risk. </w:t>
      </w:r>
      <w:r w:rsidRPr="001B7E2B">
        <w:rPr>
          <w:rFonts w:ascii="Times New Roman" w:hAnsi="Times New Roman" w:cs="Times New Roman"/>
          <w:i/>
          <w:iCs/>
        </w:rPr>
        <w:t xml:space="preserve">Planning and </w:t>
      </w:r>
      <w:proofErr w:type="gramStart"/>
      <w:r w:rsidRPr="001B7E2B">
        <w:rPr>
          <w:rFonts w:ascii="Times New Roman" w:hAnsi="Times New Roman" w:cs="Times New Roman"/>
          <w:i/>
          <w:iCs/>
        </w:rPr>
        <w:t>Changing</w:t>
      </w:r>
      <w:proofErr w:type="gramEnd"/>
      <w:r w:rsidRPr="001B7E2B">
        <w:rPr>
          <w:rFonts w:ascii="Times New Roman" w:hAnsi="Times New Roman" w:cs="Times New Roman"/>
        </w:rPr>
        <w:t xml:space="preserve">, </w:t>
      </w:r>
      <w:r w:rsidRPr="001B7E2B">
        <w:rPr>
          <w:rFonts w:ascii="Times New Roman" w:hAnsi="Times New Roman" w:cs="Times New Roman"/>
          <w:i/>
          <w:iCs/>
        </w:rPr>
        <w:t>28</w:t>
      </w:r>
      <w:r w:rsidRPr="001B7E2B">
        <w:rPr>
          <w:rFonts w:ascii="Times New Roman" w:hAnsi="Times New Roman" w:cs="Times New Roman"/>
        </w:rPr>
        <w:t>(1 &amp; 2), 26–56.</w:t>
      </w:r>
    </w:p>
    <w:p w14:paraId="76B4CD00"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Addonizio, M. F., Kearney, C. P., &amp; Prince, H. J. (1995). Michigan’s High Wire Act. </w:t>
      </w:r>
      <w:r w:rsidRPr="001B7E2B">
        <w:rPr>
          <w:rFonts w:ascii="Times New Roman" w:hAnsi="Times New Roman" w:cs="Times New Roman"/>
          <w:i/>
          <w:iCs/>
        </w:rPr>
        <w:t>Journal of Education Finance</w:t>
      </w:r>
      <w:r w:rsidRPr="001B7E2B">
        <w:rPr>
          <w:rFonts w:ascii="Times New Roman" w:hAnsi="Times New Roman" w:cs="Times New Roman"/>
        </w:rPr>
        <w:t xml:space="preserve">, </w:t>
      </w:r>
      <w:r w:rsidRPr="001B7E2B">
        <w:rPr>
          <w:rFonts w:ascii="Times New Roman" w:hAnsi="Times New Roman" w:cs="Times New Roman"/>
          <w:i/>
          <w:iCs/>
        </w:rPr>
        <w:t>20</w:t>
      </w:r>
      <w:r w:rsidRPr="001B7E2B">
        <w:rPr>
          <w:rFonts w:ascii="Times New Roman" w:hAnsi="Times New Roman" w:cs="Times New Roman"/>
        </w:rPr>
        <w:t>(3), 235–269.</w:t>
      </w:r>
    </w:p>
    <w:p w14:paraId="11296892"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Arkhangelsky, D., Athey, S., Hirshberg, D. A., </w:t>
      </w:r>
      <w:proofErr w:type="spellStart"/>
      <w:r w:rsidRPr="001B7E2B">
        <w:rPr>
          <w:rFonts w:ascii="Times New Roman" w:hAnsi="Times New Roman" w:cs="Times New Roman"/>
        </w:rPr>
        <w:t>Imbens</w:t>
      </w:r>
      <w:proofErr w:type="spellEnd"/>
      <w:r w:rsidRPr="001B7E2B">
        <w:rPr>
          <w:rFonts w:ascii="Times New Roman" w:hAnsi="Times New Roman" w:cs="Times New Roman"/>
        </w:rPr>
        <w:t xml:space="preserve">, G. W., &amp; Wager, S. (2021). Synthetic difference-in-differences. </w:t>
      </w:r>
      <w:r w:rsidRPr="001B7E2B">
        <w:rPr>
          <w:rFonts w:ascii="Times New Roman" w:hAnsi="Times New Roman" w:cs="Times New Roman"/>
          <w:i/>
          <w:iCs/>
        </w:rPr>
        <w:t>American Economic Review</w:t>
      </w:r>
      <w:r w:rsidRPr="001B7E2B">
        <w:rPr>
          <w:rFonts w:ascii="Times New Roman" w:hAnsi="Times New Roman" w:cs="Times New Roman"/>
        </w:rPr>
        <w:t xml:space="preserve">, </w:t>
      </w:r>
      <w:r w:rsidRPr="001B7E2B">
        <w:rPr>
          <w:rFonts w:ascii="Times New Roman" w:hAnsi="Times New Roman" w:cs="Times New Roman"/>
          <w:i/>
          <w:iCs/>
        </w:rPr>
        <w:t>111</w:t>
      </w:r>
      <w:r w:rsidRPr="001B7E2B">
        <w:rPr>
          <w:rFonts w:ascii="Times New Roman" w:hAnsi="Times New Roman" w:cs="Times New Roman"/>
        </w:rPr>
        <w:t xml:space="preserve">(12), 4088–4118. </w:t>
      </w:r>
      <w:hyperlink r:id="rId10" w:history="1">
        <w:r w:rsidRPr="001B7E2B">
          <w:rPr>
            <w:rStyle w:val="Hyperlink"/>
            <w:rFonts w:ascii="Times New Roman" w:hAnsi="Times New Roman" w:cs="Times New Roman"/>
          </w:rPr>
          <w:t>https://doi.org/10.1257/aer.20190159</w:t>
        </w:r>
      </w:hyperlink>
    </w:p>
    <w:p w14:paraId="7C9D6E58"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Arsen, D., </w:t>
      </w:r>
      <w:proofErr w:type="spellStart"/>
      <w:r w:rsidRPr="001B7E2B">
        <w:rPr>
          <w:rFonts w:ascii="Times New Roman" w:hAnsi="Times New Roman" w:cs="Times New Roman"/>
        </w:rPr>
        <w:t>Delpier</w:t>
      </w:r>
      <w:proofErr w:type="spellEnd"/>
      <w:r w:rsidRPr="001B7E2B">
        <w:rPr>
          <w:rFonts w:ascii="Times New Roman" w:hAnsi="Times New Roman" w:cs="Times New Roman"/>
        </w:rPr>
        <w:t xml:space="preserve">, T., &amp; Nagel, J. (2019). </w:t>
      </w:r>
      <w:r w:rsidRPr="001B7E2B">
        <w:rPr>
          <w:rFonts w:ascii="Times New Roman" w:hAnsi="Times New Roman" w:cs="Times New Roman"/>
          <w:i/>
          <w:iCs/>
        </w:rPr>
        <w:t>Michigan School Finance at the Crossroads: A Quarter Century of State Control</w:t>
      </w:r>
      <w:r w:rsidRPr="001B7E2B">
        <w:rPr>
          <w:rFonts w:ascii="Times New Roman" w:hAnsi="Times New Roman" w:cs="Times New Roman"/>
        </w:rPr>
        <w:t xml:space="preserve">. Michigan State University. </w:t>
      </w:r>
      <w:hyperlink r:id="rId11" w:history="1">
        <w:r w:rsidRPr="001B7E2B">
          <w:rPr>
            <w:rStyle w:val="Hyperlink"/>
            <w:rFonts w:ascii="Times New Roman" w:hAnsi="Times New Roman" w:cs="Times New Roman"/>
          </w:rPr>
          <w:t>https://education.msu.edu/ed-policy-phd/pdf/Michigan-School-Finance-at-the-Crossroads-A-Quarter-Center-of-State-Control.pdf</w:t>
        </w:r>
      </w:hyperlink>
    </w:p>
    <w:p w14:paraId="3E9F26D9"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Biasi, B., LaFortune, J., &amp; </w:t>
      </w:r>
      <w:proofErr w:type="spellStart"/>
      <w:r w:rsidRPr="001B7E2B">
        <w:rPr>
          <w:rFonts w:ascii="Times New Roman" w:hAnsi="Times New Roman" w:cs="Times New Roman"/>
        </w:rPr>
        <w:t>Schönholzer</w:t>
      </w:r>
      <w:proofErr w:type="spellEnd"/>
      <w:r w:rsidRPr="001B7E2B">
        <w:rPr>
          <w:rFonts w:ascii="Times New Roman" w:hAnsi="Times New Roman" w:cs="Times New Roman"/>
        </w:rPr>
        <w:t xml:space="preserve">, D. (2025). What works and for whom? Effectiveness and efficiency of school capital investments across the U.S. </w:t>
      </w:r>
      <w:r w:rsidRPr="001B7E2B">
        <w:rPr>
          <w:rFonts w:ascii="Times New Roman" w:hAnsi="Times New Roman" w:cs="Times New Roman"/>
          <w:i/>
          <w:iCs/>
        </w:rPr>
        <w:t>The Quarterly Journal of Economics</w:t>
      </w:r>
      <w:r w:rsidRPr="001B7E2B">
        <w:rPr>
          <w:rFonts w:ascii="Times New Roman" w:hAnsi="Times New Roman" w:cs="Times New Roman"/>
        </w:rPr>
        <w:t xml:space="preserve">, </w:t>
      </w:r>
      <w:r w:rsidRPr="001B7E2B">
        <w:rPr>
          <w:rFonts w:ascii="Times New Roman" w:hAnsi="Times New Roman" w:cs="Times New Roman"/>
          <w:i/>
          <w:iCs/>
        </w:rPr>
        <w:t>140</w:t>
      </w:r>
      <w:r w:rsidRPr="001B7E2B">
        <w:rPr>
          <w:rFonts w:ascii="Times New Roman" w:hAnsi="Times New Roman" w:cs="Times New Roman"/>
        </w:rPr>
        <w:t xml:space="preserve">(3), 2329–2379. </w:t>
      </w:r>
      <w:hyperlink r:id="rId12" w:history="1">
        <w:r w:rsidRPr="001B7E2B">
          <w:rPr>
            <w:rStyle w:val="Hyperlink"/>
            <w:rFonts w:ascii="Times New Roman" w:hAnsi="Times New Roman" w:cs="Times New Roman"/>
          </w:rPr>
          <w:t>https://doi.org/10.1093/qje/qjaf013</w:t>
        </w:r>
      </w:hyperlink>
    </w:p>
    <w:p w14:paraId="7AA2167D"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Bradford, D. F., &amp; Oates, W. E. (1971a). The analysis of revenue sharing in a new approach to collective fiscal decisions. </w:t>
      </w:r>
      <w:r w:rsidRPr="001B7E2B">
        <w:rPr>
          <w:rFonts w:ascii="Times New Roman" w:hAnsi="Times New Roman" w:cs="Times New Roman"/>
          <w:i/>
          <w:iCs/>
        </w:rPr>
        <w:t>The Quarterly Journal of Economics</w:t>
      </w:r>
      <w:r w:rsidRPr="001B7E2B">
        <w:rPr>
          <w:rFonts w:ascii="Times New Roman" w:hAnsi="Times New Roman" w:cs="Times New Roman"/>
        </w:rPr>
        <w:t xml:space="preserve">, </w:t>
      </w:r>
      <w:r w:rsidRPr="001B7E2B">
        <w:rPr>
          <w:rFonts w:ascii="Times New Roman" w:hAnsi="Times New Roman" w:cs="Times New Roman"/>
          <w:i/>
          <w:iCs/>
        </w:rPr>
        <w:t>85</w:t>
      </w:r>
      <w:r w:rsidRPr="001B7E2B">
        <w:rPr>
          <w:rFonts w:ascii="Times New Roman" w:hAnsi="Times New Roman" w:cs="Times New Roman"/>
        </w:rPr>
        <w:t xml:space="preserve">(3), 416–439. </w:t>
      </w:r>
      <w:hyperlink r:id="rId13" w:history="1">
        <w:r w:rsidRPr="001B7E2B">
          <w:rPr>
            <w:rStyle w:val="Hyperlink"/>
            <w:rFonts w:ascii="Times New Roman" w:hAnsi="Times New Roman" w:cs="Times New Roman"/>
          </w:rPr>
          <w:t>https://doi.org/10.2307/1885931</w:t>
        </w:r>
      </w:hyperlink>
    </w:p>
    <w:p w14:paraId="3745BA70"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Bradford, D. F., &amp; Oates, W. E. (1971b). Towards a predictive theory of intergovernmental grants. </w:t>
      </w:r>
      <w:r w:rsidRPr="001B7E2B">
        <w:rPr>
          <w:rFonts w:ascii="Times New Roman" w:hAnsi="Times New Roman" w:cs="Times New Roman"/>
          <w:i/>
          <w:iCs/>
        </w:rPr>
        <w:t>The American Economic Review: Papers and Proceedings</w:t>
      </w:r>
      <w:r w:rsidRPr="001B7E2B">
        <w:rPr>
          <w:rFonts w:ascii="Times New Roman" w:hAnsi="Times New Roman" w:cs="Times New Roman"/>
        </w:rPr>
        <w:t xml:space="preserve">, </w:t>
      </w:r>
      <w:r w:rsidRPr="001B7E2B">
        <w:rPr>
          <w:rFonts w:ascii="Times New Roman" w:hAnsi="Times New Roman" w:cs="Times New Roman"/>
          <w:i/>
          <w:iCs/>
        </w:rPr>
        <w:t>61</w:t>
      </w:r>
      <w:r w:rsidRPr="001B7E2B">
        <w:rPr>
          <w:rFonts w:ascii="Times New Roman" w:hAnsi="Times New Roman" w:cs="Times New Roman"/>
        </w:rPr>
        <w:t>(2), 440–448.</w:t>
      </w:r>
    </w:p>
    <w:p w14:paraId="090E2C4A"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Bradford, D. F., &amp; </w:t>
      </w:r>
      <w:proofErr w:type="spellStart"/>
      <w:r w:rsidRPr="001B7E2B">
        <w:rPr>
          <w:rFonts w:ascii="Times New Roman" w:hAnsi="Times New Roman" w:cs="Times New Roman"/>
        </w:rPr>
        <w:t>Shaviro</w:t>
      </w:r>
      <w:proofErr w:type="spellEnd"/>
      <w:r w:rsidRPr="001B7E2B">
        <w:rPr>
          <w:rFonts w:ascii="Times New Roman" w:hAnsi="Times New Roman" w:cs="Times New Roman"/>
        </w:rPr>
        <w:t xml:space="preserve">, D. N. (2000). The Economics of Vouchers. In C. E. Steuerle, V. D. Ooms, G. E. Peterson, &amp; R. D. Reischauer (Eds.), </w:t>
      </w:r>
      <w:r w:rsidRPr="001B7E2B">
        <w:rPr>
          <w:rFonts w:ascii="Times New Roman" w:hAnsi="Times New Roman" w:cs="Times New Roman"/>
          <w:i/>
          <w:iCs/>
        </w:rPr>
        <w:t>Vouchers and the Provision of Public Service</w:t>
      </w:r>
      <w:r w:rsidRPr="001B7E2B">
        <w:rPr>
          <w:rFonts w:ascii="Times New Roman" w:hAnsi="Times New Roman" w:cs="Times New Roman"/>
        </w:rPr>
        <w:t>. Brookings Institution Press.</w:t>
      </w:r>
    </w:p>
    <w:p w14:paraId="7FC5BEF0"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Brun, J.-F., &amp; El </w:t>
      </w:r>
      <w:proofErr w:type="spellStart"/>
      <w:r w:rsidRPr="001B7E2B">
        <w:rPr>
          <w:rFonts w:ascii="Times New Roman" w:hAnsi="Times New Roman" w:cs="Times New Roman"/>
        </w:rPr>
        <w:t>Khdari</w:t>
      </w:r>
      <w:proofErr w:type="spellEnd"/>
      <w:r w:rsidRPr="001B7E2B">
        <w:rPr>
          <w:rFonts w:ascii="Times New Roman" w:hAnsi="Times New Roman" w:cs="Times New Roman"/>
        </w:rPr>
        <w:t xml:space="preserve">, M. (2016). </w:t>
      </w:r>
      <w:r w:rsidRPr="001B7E2B">
        <w:rPr>
          <w:rFonts w:ascii="Times New Roman" w:hAnsi="Times New Roman" w:cs="Times New Roman"/>
          <w:i/>
          <w:iCs/>
        </w:rPr>
        <w:t>The incentive effects of conditional and unconditional transfers on local own revenue generation: Empirical evidence from Moroccan municipalities</w:t>
      </w:r>
      <w:r w:rsidRPr="001B7E2B">
        <w:rPr>
          <w:rFonts w:ascii="Times New Roman" w:hAnsi="Times New Roman" w:cs="Times New Roman"/>
        </w:rPr>
        <w:t xml:space="preserve"> (Halshs-01285021). HAL. </w:t>
      </w:r>
      <w:hyperlink r:id="rId14" w:history="1">
        <w:r w:rsidRPr="001B7E2B">
          <w:rPr>
            <w:rStyle w:val="Hyperlink"/>
            <w:rFonts w:ascii="Times New Roman" w:hAnsi="Times New Roman" w:cs="Times New Roman"/>
          </w:rPr>
          <w:t>https://shs.hal.science/halshs-01285021</w:t>
        </w:r>
      </w:hyperlink>
    </w:p>
    <w:p w14:paraId="603AF5E5"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Burns, J., &amp; Guzman, M. (2025). </w:t>
      </w:r>
      <w:r w:rsidRPr="001B7E2B">
        <w:rPr>
          <w:rFonts w:ascii="Times New Roman" w:hAnsi="Times New Roman" w:cs="Times New Roman"/>
          <w:i/>
          <w:iCs/>
        </w:rPr>
        <w:t>Funding Michigan’s future: Three decades of school finance and the policy questions ahead</w:t>
      </w:r>
      <w:r w:rsidRPr="001B7E2B">
        <w:rPr>
          <w:rFonts w:ascii="Times New Roman" w:hAnsi="Times New Roman" w:cs="Times New Roman"/>
        </w:rPr>
        <w:t xml:space="preserve">. Education Policy Innovation Collaborative at Michigan State. </w:t>
      </w:r>
      <w:hyperlink r:id="rId15" w:history="1">
        <w:r w:rsidRPr="001B7E2B">
          <w:rPr>
            <w:rStyle w:val="Hyperlink"/>
            <w:rFonts w:ascii="Times New Roman" w:hAnsi="Times New Roman" w:cs="Times New Roman"/>
          </w:rPr>
          <w:t>https://epicedpolicy.org/funding-michigans-future-k-12-finance-report/</w:t>
        </w:r>
      </w:hyperlink>
    </w:p>
    <w:p w14:paraId="50F84402"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Callaway, B., Goodman-Bacon, A., &amp; Sant’Anna, P. H. C. (2024). Difference-in-Differences with a Continuous Treatment. </w:t>
      </w:r>
      <w:r w:rsidRPr="001B7E2B">
        <w:rPr>
          <w:rFonts w:ascii="Times New Roman" w:hAnsi="Times New Roman" w:cs="Times New Roman"/>
          <w:i/>
          <w:iCs/>
        </w:rPr>
        <w:t>arXiv:2107.02637</w:t>
      </w:r>
      <w:r w:rsidRPr="001B7E2B">
        <w:rPr>
          <w:rFonts w:ascii="Times New Roman" w:hAnsi="Times New Roman" w:cs="Times New Roman"/>
        </w:rPr>
        <w:t xml:space="preserve">. </w:t>
      </w:r>
      <w:hyperlink r:id="rId16" w:history="1">
        <w:r w:rsidRPr="001B7E2B">
          <w:rPr>
            <w:rStyle w:val="Hyperlink"/>
            <w:rFonts w:ascii="Times New Roman" w:hAnsi="Times New Roman" w:cs="Times New Roman"/>
          </w:rPr>
          <w:t>https://doi.org/10.48550/arXiv.2107.02637</w:t>
        </w:r>
      </w:hyperlink>
    </w:p>
    <w:p w14:paraId="5F55D731"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Cascio, E. U., Gordon, N., &amp; Reber, S. (2013). Local response to federal grants: Evidence from the introduction of Title I in the South. </w:t>
      </w:r>
      <w:r w:rsidRPr="001B7E2B">
        <w:rPr>
          <w:rFonts w:ascii="Times New Roman" w:hAnsi="Times New Roman" w:cs="Times New Roman"/>
          <w:i/>
          <w:iCs/>
        </w:rPr>
        <w:t>American Economic Journal: Economic Policy</w:t>
      </w:r>
      <w:r w:rsidRPr="001B7E2B">
        <w:rPr>
          <w:rFonts w:ascii="Times New Roman" w:hAnsi="Times New Roman" w:cs="Times New Roman"/>
        </w:rPr>
        <w:t xml:space="preserve">, </w:t>
      </w:r>
      <w:r w:rsidRPr="001B7E2B">
        <w:rPr>
          <w:rFonts w:ascii="Times New Roman" w:hAnsi="Times New Roman" w:cs="Times New Roman"/>
          <w:i/>
          <w:iCs/>
        </w:rPr>
        <w:t>5</w:t>
      </w:r>
      <w:r w:rsidRPr="001B7E2B">
        <w:rPr>
          <w:rFonts w:ascii="Times New Roman" w:hAnsi="Times New Roman" w:cs="Times New Roman"/>
        </w:rPr>
        <w:t xml:space="preserve">(3), 126–159. </w:t>
      </w:r>
      <w:hyperlink r:id="rId17" w:history="1">
        <w:r w:rsidRPr="001B7E2B">
          <w:rPr>
            <w:rStyle w:val="Hyperlink"/>
            <w:rFonts w:ascii="Times New Roman" w:hAnsi="Times New Roman" w:cs="Times New Roman"/>
          </w:rPr>
          <w:t>https://doi.org/10.1257/pol.5.3.126</w:t>
        </w:r>
      </w:hyperlink>
    </w:p>
    <w:p w14:paraId="7B2D642A"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Chambers, J. G., Pérez, M., Harr, J. J., &amp; Shkolnik, J. (2005). Special Education Spending Estimates from 1969-2000. </w:t>
      </w:r>
      <w:r w:rsidRPr="001B7E2B">
        <w:rPr>
          <w:rFonts w:ascii="Times New Roman" w:hAnsi="Times New Roman" w:cs="Times New Roman"/>
          <w:i/>
          <w:iCs/>
        </w:rPr>
        <w:t>Journal of Special Education Leadership</w:t>
      </w:r>
      <w:r w:rsidRPr="001B7E2B">
        <w:rPr>
          <w:rFonts w:ascii="Times New Roman" w:hAnsi="Times New Roman" w:cs="Times New Roman"/>
        </w:rPr>
        <w:t xml:space="preserve">, </w:t>
      </w:r>
      <w:r w:rsidRPr="001B7E2B">
        <w:rPr>
          <w:rFonts w:ascii="Times New Roman" w:hAnsi="Times New Roman" w:cs="Times New Roman"/>
          <w:i/>
          <w:iCs/>
        </w:rPr>
        <w:t>18</w:t>
      </w:r>
      <w:r w:rsidRPr="001B7E2B">
        <w:rPr>
          <w:rFonts w:ascii="Times New Roman" w:hAnsi="Times New Roman" w:cs="Times New Roman"/>
        </w:rPr>
        <w:t>(1), 5–13.</w:t>
      </w:r>
    </w:p>
    <w:p w14:paraId="176898A5"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Craig, S. G., &amp; Inman, R. P. (1982). Federal aid and public education: An empirical look at the new fiscal federalism. </w:t>
      </w:r>
      <w:r w:rsidRPr="001B7E2B">
        <w:rPr>
          <w:rFonts w:ascii="Times New Roman" w:hAnsi="Times New Roman" w:cs="Times New Roman"/>
          <w:i/>
          <w:iCs/>
        </w:rPr>
        <w:t>The Review of Economics and Statistics</w:t>
      </w:r>
      <w:r w:rsidRPr="001B7E2B">
        <w:rPr>
          <w:rFonts w:ascii="Times New Roman" w:hAnsi="Times New Roman" w:cs="Times New Roman"/>
        </w:rPr>
        <w:t xml:space="preserve">, </w:t>
      </w:r>
      <w:r w:rsidRPr="001B7E2B">
        <w:rPr>
          <w:rFonts w:ascii="Times New Roman" w:hAnsi="Times New Roman" w:cs="Times New Roman"/>
          <w:i/>
          <w:iCs/>
        </w:rPr>
        <w:t>64</w:t>
      </w:r>
      <w:r w:rsidRPr="001B7E2B">
        <w:rPr>
          <w:rFonts w:ascii="Times New Roman" w:hAnsi="Times New Roman" w:cs="Times New Roman"/>
        </w:rPr>
        <w:t xml:space="preserve">(4), 541–552. </w:t>
      </w:r>
      <w:hyperlink r:id="rId18" w:history="1">
        <w:r w:rsidRPr="001B7E2B">
          <w:rPr>
            <w:rStyle w:val="Hyperlink"/>
            <w:rFonts w:ascii="Times New Roman" w:hAnsi="Times New Roman" w:cs="Times New Roman"/>
          </w:rPr>
          <w:t>https://doi.org/10.2307/1923938</w:t>
        </w:r>
      </w:hyperlink>
    </w:p>
    <w:p w14:paraId="22B4AF4F"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Cullen, J. B., &amp; Loeb, S. (2004). School Finance Reform in Michigan: Evaluating Proposal A. In J. Yinger (Ed.), </w:t>
      </w:r>
      <w:r w:rsidRPr="001B7E2B">
        <w:rPr>
          <w:rFonts w:ascii="Times New Roman" w:hAnsi="Times New Roman" w:cs="Times New Roman"/>
          <w:i/>
          <w:iCs/>
        </w:rPr>
        <w:t>Helping Children Left Behind: State Aid and the Pursuit of Educational Equity</w:t>
      </w:r>
      <w:r w:rsidRPr="001B7E2B">
        <w:rPr>
          <w:rFonts w:ascii="Times New Roman" w:hAnsi="Times New Roman" w:cs="Times New Roman"/>
        </w:rPr>
        <w:t xml:space="preserve">. The MIT Press. </w:t>
      </w:r>
      <w:hyperlink r:id="rId19" w:history="1">
        <w:r w:rsidRPr="001B7E2B">
          <w:rPr>
            <w:rStyle w:val="Hyperlink"/>
            <w:rFonts w:ascii="Times New Roman" w:hAnsi="Times New Roman" w:cs="Times New Roman"/>
          </w:rPr>
          <w:t>https://doi.org/10.7551/mitpress/3469.001.0001</w:t>
        </w:r>
      </w:hyperlink>
    </w:p>
    <w:p w14:paraId="08B63A7A"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Dahlby, B. (2011). The marginal cost of public funds and the flypaper effect. </w:t>
      </w:r>
      <w:r w:rsidRPr="001B7E2B">
        <w:rPr>
          <w:rFonts w:ascii="Times New Roman" w:hAnsi="Times New Roman" w:cs="Times New Roman"/>
          <w:i/>
          <w:iCs/>
        </w:rPr>
        <w:t>International Tax Public Finance</w:t>
      </w:r>
      <w:r w:rsidRPr="001B7E2B">
        <w:rPr>
          <w:rFonts w:ascii="Times New Roman" w:hAnsi="Times New Roman" w:cs="Times New Roman"/>
        </w:rPr>
        <w:t xml:space="preserve">, </w:t>
      </w:r>
      <w:r w:rsidRPr="001B7E2B">
        <w:rPr>
          <w:rFonts w:ascii="Times New Roman" w:hAnsi="Times New Roman" w:cs="Times New Roman"/>
          <w:i/>
          <w:iCs/>
        </w:rPr>
        <w:t>18</w:t>
      </w:r>
      <w:r w:rsidRPr="001B7E2B">
        <w:rPr>
          <w:rFonts w:ascii="Times New Roman" w:hAnsi="Times New Roman" w:cs="Times New Roman"/>
        </w:rPr>
        <w:t xml:space="preserve">, 304–321. </w:t>
      </w:r>
      <w:hyperlink r:id="rId20" w:history="1">
        <w:r w:rsidRPr="001B7E2B">
          <w:rPr>
            <w:rStyle w:val="Hyperlink"/>
            <w:rFonts w:ascii="Times New Roman" w:hAnsi="Times New Roman" w:cs="Times New Roman"/>
          </w:rPr>
          <w:t>https://doi.org/10.1007/s10797-010-9160-x</w:t>
        </w:r>
      </w:hyperlink>
    </w:p>
    <w:p w14:paraId="51EE0674"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lastRenderedPageBreak/>
        <w:t xml:space="preserve">de </w:t>
      </w:r>
      <w:proofErr w:type="spellStart"/>
      <w:r w:rsidRPr="001B7E2B">
        <w:rPr>
          <w:rFonts w:ascii="Times New Roman" w:hAnsi="Times New Roman" w:cs="Times New Roman"/>
        </w:rPr>
        <w:t>Chaisemartin</w:t>
      </w:r>
      <w:proofErr w:type="spellEnd"/>
      <w:r w:rsidRPr="001B7E2B">
        <w:rPr>
          <w:rFonts w:ascii="Times New Roman" w:hAnsi="Times New Roman" w:cs="Times New Roman"/>
        </w:rPr>
        <w:t xml:space="preserve">, C., &amp; </w:t>
      </w:r>
      <w:proofErr w:type="spellStart"/>
      <w:r w:rsidRPr="001B7E2B">
        <w:rPr>
          <w:rFonts w:ascii="Times New Roman" w:hAnsi="Times New Roman" w:cs="Times New Roman"/>
        </w:rPr>
        <w:t>D’Haultfoeuille</w:t>
      </w:r>
      <w:proofErr w:type="spellEnd"/>
      <w:r w:rsidRPr="001B7E2B">
        <w:rPr>
          <w:rFonts w:ascii="Times New Roman" w:hAnsi="Times New Roman" w:cs="Times New Roman"/>
        </w:rPr>
        <w:t xml:space="preserve">, X. (2020). Two-way fixed effects estimators with heterogeneous treatment effects. </w:t>
      </w:r>
      <w:r w:rsidRPr="001B7E2B">
        <w:rPr>
          <w:rFonts w:ascii="Times New Roman" w:hAnsi="Times New Roman" w:cs="Times New Roman"/>
          <w:i/>
          <w:iCs/>
        </w:rPr>
        <w:t>American Economic Review</w:t>
      </w:r>
      <w:r w:rsidRPr="001B7E2B">
        <w:rPr>
          <w:rFonts w:ascii="Times New Roman" w:hAnsi="Times New Roman" w:cs="Times New Roman"/>
        </w:rPr>
        <w:t xml:space="preserve">, </w:t>
      </w:r>
      <w:r w:rsidRPr="001B7E2B">
        <w:rPr>
          <w:rFonts w:ascii="Times New Roman" w:hAnsi="Times New Roman" w:cs="Times New Roman"/>
          <w:i/>
          <w:iCs/>
        </w:rPr>
        <w:t>110</w:t>
      </w:r>
      <w:r w:rsidRPr="001B7E2B">
        <w:rPr>
          <w:rFonts w:ascii="Times New Roman" w:hAnsi="Times New Roman" w:cs="Times New Roman"/>
        </w:rPr>
        <w:t xml:space="preserve">(9), 2964–2996. </w:t>
      </w:r>
      <w:hyperlink r:id="rId21" w:history="1">
        <w:r w:rsidRPr="001B7E2B">
          <w:rPr>
            <w:rStyle w:val="Hyperlink"/>
            <w:rFonts w:ascii="Times New Roman" w:hAnsi="Times New Roman" w:cs="Times New Roman"/>
          </w:rPr>
          <w:t>https://doi.org/10.1257/aer.20181169</w:t>
        </w:r>
      </w:hyperlink>
    </w:p>
    <w:p w14:paraId="337A6975"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Dee, T. S., &amp; Levine, J. (2004). The fate of new funding: Evidence from Massachusetts’ Education Finance Reforms. </w:t>
      </w:r>
      <w:r w:rsidRPr="001B7E2B">
        <w:rPr>
          <w:rFonts w:ascii="Times New Roman" w:hAnsi="Times New Roman" w:cs="Times New Roman"/>
          <w:i/>
          <w:iCs/>
        </w:rPr>
        <w:t>Educational Evaluation and Policy Analysis</w:t>
      </w:r>
      <w:r w:rsidRPr="001B7E2B">
        <w:rPr>
          <w:rFonts w:ascii="Times New Roman" w:hAnsi="Times New Roman" w:cs="Times New Roman"/>
        </w:rPr>
        <w:t xml:space="preserve">, </w:t>
      </w:r>
      <w:r w:rsidRPr="001B7E2B">
        <w:rPr>
          <w:rFonts w:ascii="Times New Roman" w:hAnsi="Times New Roman" w:cs="Times New Roman"/>
          <w:i/>
          <w:iCs/>
        </w:rPr>
        <w:t>26</w:t>
      </w:r>
      <w:r w:rsidRPr="001B7E2B">
        <w:rPr>
          <w:rFonts w:ascii="Times New Roman" w:hAnsi="Times New Roman" w:cs="Times New Roman"/>
        </w:rPr>
        <w:t xml:space="preserve">(3), 199–215. </w:t>
      </w:r>
      <w:hyperlink r:id="rId22" w:history="1">
        <w:r w:rsidRPr="001B7E2B">
          <w:rPr>
            <w:rStyle w:val="Hyperlink"/>
            <w:rFonts w:ascii="Times New Roman" w:hAnsi="Times New Roman" w:cs="Times New Roman"/>
          </w:rPr>
          <w:t>https://doi.org/10.3102/01623737026003199</w:t>
        </w:r>
      </w:hyperlink>
    </w:p>
    <w:p w14:paraId="7A2C74C2"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Dowd, A. C., &amp; Grant, J. L. (2006). Equity and efficiency of community college appropriations: The role of local financing. </w:t>
      </w:r>
      <w:r w:rsidRPr="001B7E2B">
        <w:rPr>
          <w:rFonts w:ascii="Times New Roman" w:hAnsi="Times New Roman" w:cs="Times New Roman"/>
          <w:i/>
          <w:iCs/>
        </w:rPr>
        <w:t>The Review of Higher Education</w:t>
      </w:r>
      <w:r w:rsidRPr="001B7E2B">
        <w:rPr>
          <w:rFonts w:ascii="Times New Roman" w:hAnsi="Times New Roman" w:cs="Times New Roman"/>
        </w:rPr>
        <w:t xml:space="preserve">, </w:t>
      </w:r>
      <w:r w:rsidRPr="001B7E2B">
        <w:rPr>
          <w:rFonts w:ascii="Times New Roman" w:hAnsi="Times New Roman" w:cs="Times New Roman"/>
          <w:i/>
          <w:iCs/>
        </w:rPr>
        <w:t>29</w:t>
      </w:r>
      <w:r w:rsidRPr="001B7E2B">
        <w:rPr>
          <w:rFonts w:ascii="Times New Roman" w:hAnsi="Times New Roman" w:cs="Times New Roman"/>
        </w:rPr>
        <w:t xml:space="preserve">(2), 167–194. </w:t>
      </w:r>
      <w:hyperlink r:id="rId23" w:history="1">
        <w:r w:rsidRPr="001B7E2B">
          <w:rPr>
            <w:rStyle w:val="Hyperlink"/>
            <w:rFonts w:ascii="Times New Roman" w:hAnsi="Times New Roman" w:cs="Times New Roman"/>
          </w:rPr>
          <w:t>https://doi.org/10.1353/rhe.2005.0081</w:t>
        </w:r>
      </w:hyperlink>
    </w:p>
    <w:p w14:paraId="16882CB7"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Duncombe, W., &amp; Yinger, J. (1998). School finance reform: Aid formulas and equity objectives. </w:t>
      </w:r>
      <w:r w:rsidRPr="001B7E2B">
        <w:rPr>
          <w:rFonts w:ascii="Times New Roman" w:hAnsi="Times New Roman" w:cs="Times New Roman"/>
          <w:i/>
          <w:iCs/>
        </w:rPr>
        <w:t>National Tax Journal</w:t>
      </w:r>
      <w:r w:rsidRPr="001B7E2B">
        <w:rPr>
          <w:rFonts w:ascii="Times New Roman" w:hAnsi="Times New Roman" w:cs="Times New Roman"/>
        </w:rPr>
        <w:t xml:space="preserve">, </w:t>
      </w:r>
      <w:r w:rsidRPr="001B7E2B">
        <w:rPr>
          <w:rFonts w:ascii="Times New Roman" w:hAnsi="Times New Roman" w:cs="Times New Roman"/>
          <w:i/>
          <w:iCs/>
        </w:rPr>
        <w:t>51</w:t>
      </w:r>
      <w:r w:rsidRPr="001B7E2B">
        <w:rPr>
          <w:rFonts w:ascii="Times New Roman" w:hAnsi="Times New Roman" w:cs="Times New Roman"/>
        </w:rPr>
        <w:t xml:space="preserve">(2). </w:t>
      </w:r>
      <w:hyperlink r:id="rId24" w:history="1">
        <w:r w:rsidRPr="001B7E2B">
          <w:rPr>
            <w:rStyle w:val="Hyperlink"/>
            <w:rFonts w:ascii="Times New Roman" w:hAnsi="Times New Roman" w:cs="Times New Roman"/>
          </w:rPr>
          <w:t>https://doi.org/10.1086/NTJ41789325</w:t>
        </w:r>
      </w:hyperlink>
    </w:p>
    <w:p w14:paraId="01283416"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Dye, R. F., &amp; McGuire, T. J. (1997). The effect of property tax limitation measures on local government fiscal behavior. </w:t>
      </w:r>
      <w:r w:rsidRPr="001B7E2B">
        <w:rPr>
          <w:rFonts w:ascii="Times New Roman" w:hAnsi="Times New Roman" w:cs="Times New Roman"/>
          <w:i/>
          <w:iCs/>
        </w:rPr>
        <w:t>Journal of Public Economics</w:t>
      </w:r>
      <w:r w:rsidRPr="001B7E2B">
        <w:rPr>
          <w:rFonts w:ascii="Times New Roman" w:hAnsi="Times New Roman" w:cs="Times New Roman"/>
        </w:rPr>
        <w:t xml:space="preserve">, </w:t>
      </w:r>
      <w:r w:rsidRPr="001B7E2B">
        <w:rPr>
          <w:rFonts w:ascii="Times New Roman" w:hAnsi="Times New Roman" w:cs="Times New Roman"/>
          <w:i/>
          <w:iCs/>
        </w:rPr>
        <w:t>66</w:t>
      </w:r>
      <w:r w:rsidRPr="001B7E2B">
        <w:rPr>
          <w:rFonts w:ascii="Times New Roman" w:hAnsi="Times New Roman" w:cs="Times New Roman"/>
        </w:rPr>
        <w:t xml:space="preserve">, 469–487. </w:t>
      </w:r>
      <w:hyperlink r:id="rId25" w:history="1">
        <w:r w:rsidRPr="001B7E2B">
          <w:rPr>
            <w:rStyle w:val="Hyperlink"/>
            <w:rFonts w:ascii="Times New Roman" w:hAnsi="Times New Roman" w:cs="Times New Roman"/>
          </w:rPr>
          <w:t>https://doi.org/10.1016/S0047-2727(97)00047-9</w:t>
        </w:r>
      </w:hyperlink>
    </w:p>
    <w:p w14:paraId="7E62EE08"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Evans, W. N., Murray, S. E., &amp; Schwab, R. M. (n.d.). Toward increased centralization in public school finance. In R. C. Fisher (Ed.), </w:t>
      </w:r>
      <w:r w:rsidRPr="001B7E2B">
        <w:rPr>
          <w:rFonts w:ascii="Times New Roman" w:hAnsi="Times New Roman" w:cs="Times New Roman"/>
          <w:i/>
          <w:iCs/>
        </w:rPr>
        <w:t>Intergovernmental Fiscal Relations</w:t>
      </w:r>
      <w:r w:rsidRPr="001B7E2B">
        <w:rPr>
          <w:rFonts w:ascii="Times New Roman" w:hAnsi="Times New Roman" w:cs="Times New Roman"/>
        </w:rPr>
        <w:t>. Kluwer Academic Publishers.</w:t>
      </w:r>
    </w:p>
    <w:p w14:paraId="34529208"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Fisher, R. C., &amp; Papke, L. E. (2000). Local government responses to education grants. </w:t>
      </w:r>
      <w:r w:rsidRPr="001B7E2B">
        <w:rPr>
          <w:rFonts w:ascii="Times New Roman" w:hAnsi="Times New Roman" w:cs="Times New Roman"/>
          <w:i/>
          <w:iCs/>
        </w:rPr>
        <w:t>National Tax Journal</w:t>
      </w:r>
      <w:r w:rsidRPr="001B7E2B">
        <w:rPr>
          <w:rFonts w:ascii="Times New Roman" w:hAnsi="Times New Roman" w:cs="Times New Roman"/>
        </w:rPr>
        <w:t xml:space="preserve">, </w:t>
      </w:r>
      <w:r w:rsidRPr="001B7E2B">
        <w:rPr>
          <w:rFonts w:ascii="Times New Roman" w:hAnsi="Times New Roman" w:cs="Times New Roman"/>
          <w:i/>
          <w:iCs/>
        </w:rPr>
        <w:t>53</w:t>
      </w:r>
      <w:r w:rsidRPr="001B7E2B">
        <w:rPr>
          <w:rFonts w:ascii="Times New Roman" w:hAnsi="Times New Roman" w:cs="Times New Roman"/>
        </w:rPr>
        <w:t xml:space="preserve">(1), 153–168. </w:t>
      </w:r>
      <w:hyperlink r:id="rId26" w:history="1">
        <w:r w:rsidRPr="001B7E2B">
          <w:rPr>
            <w:rStyle w:val="Hyperlink"/>
            <w:rFonts w:ascii="Times New Roman" w:hAnsi="Times New Roman" w:cs="Times New Roman"/>
          </w:rPr>
          <w:t>https://doi.org/10.17310/ntj.2000.1.09</w:t>
        </w:r>
      </w:hyperlink>
    </w:p>
    <w:p w14:paraId="5EB91C23"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Gadenne, L. (2017). Tax me, but spend wisely? Sources of public finance and government accountability. </w:t>
      </w:r>
      <w:r w:rsidRPr="001B7E2B">
        <w:rPr>
          <w:rFonts w:ascii="Times New Roman" w:hAnsi="Times New Roman" w:cs="Times New Roman"/>
          <w:i/>
          <w:iCs/>
        </w:rPr>
        <w:t>American Economic Journal: Applied Economics</w:t>
      </w:r>
      <w:r w:rsidRPr="001B7E2B">
        <w:rPr>
          <w:rFonts w:ascii="Times New Roman" w:hAnsi="Times New Roman" w:cs="Times New Roman"/>
        </w:rPr>
        <w:t xml:space="preserve">, </w:t>
      </w:r>
      <w:r w:rsidRPr="001B7E2B">
        <w:rPr>
          <w:rFonts w:ascii="Times New Roman" w:hAnsi="Times New Roman" w:cs="Times New Roman"/>
          <w:i/>
          <w:iCs/>
        </w:rPr>
        <w:t>9</w:t>
      </w:r>
      <w:r w:rsidRPr="001B7E2B">
        <w:rPr>
          <w:rFonts w:ascii="Times New Roman" w:hAnsi="Times New Roman" w:cs="Times New Roman"/>
        </w:rPr>
        <w:t xml:space="preserve">(1), 274–314. </w:t>
      </w:r>
      <w:hyperlink r:id="rId27" w:history="1">
        <w:r w:rsidRPr="001B7E2B">
          <w:rPr>
            <w:rStyle w:val="Hyperlink"/>
            <w:rFonts w:ascii="Times New Roman" w:hAnsi="Times New Roman" w:cs="Times New Roman"/>
          </w:rPr>
          <w:t>https://doi.org/10.1257/app.20150509</w:t>
        </w:r>
      </w:hyperlink>
    </w:p>
    <w:p w14:paraId="7E7965BE"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Goertz, M. E., &amp; </w:t>
      </w:r>
      <w:proofErr w:type="spellStart"/>
      <w:r w:rsidRPr="001B7E2B">
        <w:rPr>
          <w:rFonts w:ascii="Times New Roman" w:hAnsi="Times New Roman" w:cs="Times New Roman"/>
        </w:rPr>
        <w:t>Natriello</w:t>
      </w:r>
      <w:proofErr w:type="spellEnd"/>
      <w:r w:rsidRPr="001B7E2B">
        <w:rPr>
          <w:rFonts w:ascii="Times New Roman" w:hAnsi="Times New Roman" w:cs="Times New Roman"/>
        </w:rPr>
        <w:t xml:space="preserve">, G. (1999). Court-mandated school finance reform: What do the new dollars buy? In </w:t>
      </w:r>
      <w:r w:rsidRPr="001B7E2B">
        <w:rPr>
          <w:rFonts w:ascii="Times New Roman" w:hAnsi="Times New Roman" w:cs="Times New Roman"/>
          <w:i/>
          <w:iCs/>
        </w:rPr>
        <w:t>Equity and adequacy in education finance: Issues and perspectives</w:t>
      </w:r>
      <w:r w:rsidRPr="001B7E2B">
        <w:rPr>
          <w:rFonts w:ascii="Times New Roman" w:hAnsi="Times New Roman" w:cs="Times New Roman"/>
        </w:rPr>
        <w:t xml:space="preserve"> (pp. 99–135). National Academies Press.</w:t>
      </w:r>
    </w:p>
    <w:p w14:paraId="124133F8"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Gordon, N. (2004). Do federal grants boost school spending? Evidence from Title I. </w:t>
      </w:r>
      <w:r w:rsidRPr="001B7E2B">
        <w:rPr>
          <w:rFonts w:ascii="Times New Roman" w:hAnsi="Times New Roman" w:cs="Times New Roman"/>
          <w:i/>
          <w:iCs/>
        </w:rPr>
        <w:t>Journal of Public Economics</w:t>
      </w:r>
      <w:r w:rsidRPr="001B7E2B">
        <w:rPr>
          <w:rFonts w:ascii="Times New Roman" w:hAnsi="Times New Roman" w:cs="Times New Roman"/>
        </w:rPr>
        <w:t xml:space="preserve">, </w:t>
      </w:r>
      <w:r w:rsidRPr="001B7E2B">
        <w:rPr>
          <w:rFonts w:ascii="Times New Roman" w:hAnsi="Times New Roman" w:cs="Times New Roman"/>
          <w:i/>
          <w:iCs/>
        </w:rPr>
        <w:t>88</w:t>
      </w:r>
      <w:r w:rsidRPr="001B7E2B">
        <w:rPr>
          <w:rFonts w:ascii="Times New Roman" w:hAnsi="Times New Roman" w:cs="Times New Roman"/>
        </w:rPr>
        <w:t xml:space="preserve">, 1771–1792. </w:t>
      </w:r>
      <w:hyperlink r:id="rId28" w:history="1">
        <w:r w:rsidRPr="001B7E2B">
          <w:rPr>
            <w:rStyle w:val="Hyperlink"/>
            <w:rFonts w:ascii="Times New Roman" w:hAnsi="Times New Roman" w:cs="Times New Roman"/>
          </w:rPr>
          <w:t>https://doi.org/10.1016/j.jpubeco.2003.09.002</w:t>
        </w:r>
      </w:hyperlink>
    </w:p>
    <w:p w14:paraId="6A737401"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Gramlich, E. M., &amp; Galper, H. (1973). State and local fiscal behavior and federal grant policy. In A. M. Okun &amp; G. L. Perry (Eds.), </w:t>
      </w:r>
      <w:r w:rsidRPr="001B7E2B">
        <w:rPr>
          <w:rFonts w:ascii="Times New Roman" w:hAnsi="Times New Roman" w:cs="Times New Roman"/>
          <w:i/>
          <w:iCs/>
        </w:rPr>
        <w:t>Brookings Papers on Economic Activity</w:t>
      </w:r>
      <w:r w:rsidRPr="001B7E2B">
        <w:rPr>
          <w:rFonts w:ascii="Times New Roman" w:hAnsi="Times New Roman" w:cs="Times New Roman"/>
        </w:rPr>
        <w:t xml:space="preserve"> (pp. 15–65). The Brookings Institution. </w:t>
      </w:r>
      <w:hyperlink r:id="rId29" w:history="1">
        <w:r w:rsidRPr="001B7E2B">
          <w:rPr>
            <w:rStyle w:val="Hyperlink"/>
            <w:rFonts w:ascii="Times New Roman" w:hAnsi="Times New Roman" w:cs="Times New Roman"/>
          </w:rPr>
          <w:t>https://www.jstor.org/stable/2534084</w:t>
        </w:r>
      </w:hyperlink>
    </w:p>
    <w:p w14:paraId="6A362C11"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Hines, J. R., &amp; Thaler, R. H. (1995). The Flypaper Effect. </w:t>
      </w:r>
      <w:r w:rsidRPr="001B7E2B">
        <w:rPr>
          <w:rFonts w:ascii="Times New Roman" w:hAnsi="Times New Roman" w:cs="Times New Roman"/>
          <w:i/>
          <w:iCs/>
        </w:rPr>
        <w:t>Journal of Economic Perspectives</w:t>
      </w:r>
      <w:r w:rsidRPr="001B7E2B">
        <w:rPr>
          <w:rFonts w:ascii="Times New Roman" w:hAnsi="Times New Roman" w:cs="Times New Roman"/>
        </w:rPr>
        <w:t xml:space="preserve">, </w:t>
      </w:r>
      <w:r w:rsidRPr="001B7E2B">
        <w:rPr>
          <w:rFonts w:ascii="Times New Roman" w:hAnsi="Times New Roman" w:cs="Times New Roman"/>
          <w:i/>
          <w:iCs/>
        </w:rPr>
        <w:t>9</w:t>
      </w:r>
      <w:r w:rsidRPr="001B7E2B">
        <w:rPr>
          <w:rFonts w:ascii="Times New Roman" w:hAnsi="Times New Roman" w:cs="Times New Roman"/>
        </w:rPr>
        <w:t xml:space="preserve">(4), 217–226. </w:t>
      </w:r>
      <w:hyperlink r:id="rId30" w:history="1">
        <w:r w:rsidRPr="001B7E2B">
          <w:rPr>
            <w:rStyle w:val="Hyperlink"/>
            <w:rFonts w:ascii="Times New Roman" w:hAnsi="Times New Roman" w:cs="Times New Roman"/>
          </w:rPr>
          <w:t>https://doi.org/10.1257/jep.9.4.217</w:t>
        </w:r>
      </w:hyperlink>
    </w:p>
    <w:p w14:paraId="3B4582FC"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Hoxby, C. M. (2001). All School Finance Equalizations Are Not Created Equal. </w:t>
      </w:r>
      <w:r w:rsidRPr="001B7E2B">
        <w:rPr>
          <w:rFonts w:ascii="Times New Roman" w:hAnsi="Times New Roman" w:cs="Times New Roman"/>
          <w:i/>
          <w:iCs/>
        </w:rPr>
        <w:t>The Quarterly Journal of Economics</w:t>
      </w:r>
      <w:r w:rsidRPr="001B7E2B">
        <w:rPr>
          <w:rFonts w:ascii="Times New Roman" w:hAnsi="Times New Roman" w:cs="Times New Roman"/>
        </w:rPr>
        <w:t xml:space="preserve">, </w:t>
      </w:r>
      <w:r w:rsidRPr="001B7E2B">
        <w:rPr>
          <w:rFonts w:ascii="Times New Roman" w:hAnsi="Times New Roman" w:cs="Times New Roman"/>
          <w:i/>
          <w:iCs/>
        </w:rPr>
        <w:t>116</w:t>
      </w:r>
      <w:r w:rsidRPr="001B7E2B">
        <w:rPr>
          <w:rFonts w:ascii="Times New Roman" w:hAnsi="Times New Roman" w:cs="Times New Roman"/>
        </w:rPr>
        <w:t xml:space="preserve">(4), 1189–1231. </w:t>
      </w:r>
      <w:hyperlink r:id="rId31" w:history="1">
        <w:r w:rsidRPr="001B7E2B">
          <w:rPr>
            <w:rStyle w:val="Hyperlink"/>
            <w:rFonts w:ascii="Times New Roman" w:hAnsi="Times New Roman" w:cs="Times New Roman"/>
          </w:rPr>
          <w:t>https://doi.org/10.1162/003355301753265552</w:t>
        </w:r>
      </w:hyperlink>
    </w:p>
    <w:p w14:paraId="74BECC38"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Individuals with Disabilities Education Act (2019). </w:t>
      </w:r>
      <w:hyperlink r:id="rId32" w:history="1">
        <w:r w:rsidRPr="001B7E2B">
          <w:rPr>
            <w:rStyle w:val="Hyperlink"/>
            <w:rFonts w:ascii="Times New Roman" w:hAnsi="Times New Roman" w:cs="Times New Roman"/>
          </w:rPr>
          <w:t>https://sites.ed.gov/idea/statuteregulations/</w:t>
        </w:r>
      </w:hyperlink>
    </w:p>
    <w:p w14:paraId="56AD75E8"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Inman, R. P. (1971). Towards an econometric model of local budgeting. </w:t>
      </w:r>
      <w:r w:rsidRPr="001B7E2B">
        <w:rPr>
          <w:rFonts w:ascii="Times New Roman" w:hAnsi="Times New Roman" w:cs="Times New Roman"/>
          <w:i/>
          <w:iCs/>
        </w:rPr>
        <w:t>Proceedings of the Annual Conference on Taxation under the Auspices of the National Tax Association</w:t>
      </w:r>
      <w:r w:rsidRPr="001B7E2B">
        <w:rPr>
          <w:rFonts w:ascii="Times New Roman" w:hAnsi="Times New Roman" w:cs="Times New Roman"/>
        </w:rPr>
        <w:t xml:space="preserve">, </w:t>
      </w:r>
      <w:r w:rsidRPr="001B7E2B">
        <w:rPr>
          <w:rFonts w:ascii="Times New Roman" w:hAnsi="Times New Roman" w:cs="Times New Roman"/>
          <w:i/>
          <w:iCs/>
        </w:rPr>
        <w:t>64</w:t>
      </w:r>
      <w:r w:rsidRPr="001B7E2B">
        <w:rPr>
          <w:rFonts w:ascii="Times New Roman" w:hAnsi="Times New Roman" w:cs="Times New Roman"/>
        </w:rPr>
        <w:t>, 699–719.</w:t>
      </w:r>
    </w:p>
    <w:p w14:paraId="57911EF8"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King, D. N. (2016). Grants: Their types and effects. In </w:t>
      </w:r>
      <w:r w:rsidRPr="001B7E2B">
        <w:rPr>
          <w:rFonts w:ascii="Times New Roman" w:hAnsi="Times New Roman" w:cs="Times New Roman"/>
          <w:i/>
          <w:iCs/>
        </w:rPr>
        <w:t>Fiscal Tiers: The Economics of Multi-Level Government</w:t>
      </w:r>
      <w:r w:rsidRPr="001B7E2B">
        <w:rPr>
          <w:rFonts w:ascii="Times New Roman" w:hAnsi="Times New Roman" w:cs="Times New Roman"/>
        </w:rPr>
        <w:t xml:space="preserve"> (pp. 86–120). Routledge. </w:t>
      </w:r>
      <w:hyperlink r:id="rId33" w:history="1">
        <w:r w:rsidRPr="001B7E2B">
          <w:rPr>
            <w:rStyle w:val="Hyperlink"/>
            <w:rFonts w:ascii="Times New Roman" w:hAnsi="Times New Roman" w:cs="Times New Roman"/>
          </w:rPr>
          <w:t>https://doi.org/10.4324/9781315626604</w:t>
        </w:r>
      </w:hyperlink>
    </w:p>
    <w:p w14:paraId="755DFA30"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Knight, B. (2002). Endogenous federal grants and crowd-out of state government spending: Theory and evidence from the federal highway aid program. </w:t>
      </w:r>
      <w:r w:rsidRPr="001B7E2B">
        <w:rPr>
          <w:rFonts w:ascii="Times New Roman" w:hAnsi="Times New Roman" w:cs="Times New Roman"/>
          <w:i/>
          <w:iCs/>
        </w:rPr>
        <w:t>The American Economic Review</w:t>
      </w:r>
      <w:r w:rsidRPr="001B7E2B">
        <w:rPr>
          <w:rFonts w:ascii="Times New Roman" w:hAnsi="Times New Roman" w:cs="Times New Roman"/>
        </w:rPr>
        <w:t xml:space="preserve">, </w:t>
      </w:r>
      <w:r w:rsidRPr="001B7E2B">
        <w:rPr>
          <w:rFonts w:ascii="Times New Roman" w:hAnsi="Times New Roman" w:cs="Times New Roman"/>
          <w:i/>
          <w:iCs/>
        </w:rPr>
        <w:t>92</w:t>
      </w:r>
      <w:r w:rsidRPr="001B7E2B">
        <w:rPr>
          <w:rFonts w:ascii="Times New Roman" w:hAnsi="Times New Roman" w:cs="Times New Roman"/>
        </w:rPr>
        <w:t xml:space="preserve">(1), 71–92. </w:t>
      </w:r>
      <w:hyperlink r:id="rId34" w:history="1">
        <w:r w:rsidRPr="001B7E2B">
          <w:rPr>
            <w:rStyle w:val="Hyperlink"/>
            <w:rFonts w:ascii="Times New Roman" w:hAnsi="Times New Roman" w:cs="Times New Roman"/>
          </w:rPr>
          <w:t>https://doi.org/10.1257/000282802760015612</w:t>
        </w:r>
      </w:hyperlink>
    </w:p>
    <w:p w14:paraId="31540B6F"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Kolbe, T. (2019). </w:t>
      </w:r>
      <w:r w:rsidRPr="001B7E2B">
        <w:rPr>
          <w:rFonts w:ascii="Times New Roman" w:hAnsi="Times New Roman" w:cs="Times New Roman"/>
          <w:i/>
          <w:iCs/>
        </w:rPr>
        <w:t>Funding Special Education: Charting a Path That Confronts Complexity and Crafts Coherence</w:t>
      </w:r>
      <w:r w:rsidRPr="001B7E2B">
        <w:rPr>
          <w:rFonts w:ascii="Times New Roman" w:hAnsi="Times New Roman" w:cs="Times New Roman"/>
        </w:rPr>
        <w:t xml:space="preserve">. National Education Policy Center. </w:t>
      </w:r>
      <w:hyperlink r:id="rId35" w:history="1">
        <w:r w:rsidRPr="001B7E2B">
          <w:rPr>
            <w:rStyle w:val="Hyperlink"/>
            <w:rFonts w:ascii="Times New Roman" w:hAnsi="Times New Roman" w:cs="Times New Roman"/>
          </w:rPr>
          <w:t>http://nepc.colorado.edu/publication/special-ed</w:t>
        </w:r>
      </w:hyperlink>
    </w:p>
    <w:p w14:paraId="00476EE1"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lastRenderedPageBreak/>
        <w:t xml:space="preserve">Kolbe, T., </w:t>
      </w:r>
      <w:proofErr w:type="spellStart"/>
      <w:r w:rsidRPr="001B7E2B">
        <w:rPr>
          <w:rFonts w:ascii="Times New Roman" w:hAnsi="Times New Roman" w:cs="Times New Roman"/>
        </w:rPr>
        <w:t>Dhuey</w:t>
      </w:r>
      <w:proofErr w:type="spellEnd"/>
      <w:r w:rsidRPr="001B7E2B">
        <w:rPr>
          <w:rFonts w:ascii="Times New Roman" w:hAnsi="Times New Roman" w:cs="Times New Roman"/>
        </w:rPr>
        <w:t xml:space="preserve">, E., &amp; Doutre, S. M. (2022, October 3). </w:t>
      </w:r>
      <w:r w:rsidRPr="001B7E2B">
        <w:rPr>
          <w:rFonts w:ascii="Times New Roman" w:hAnsi="Times New Roman" w:cs="Times New Roman"/>
          <w:i/>
          <w:iCs/>
        </w:rPr>
        <w:t>More Money is not enough: The case for reconsidering federal special education funding formulas</w:t>
      </w:r>
      <w:r w:rsidRPr="001B7E2B">
        <w:rPr>
          <w:rFonts w:ascii="Times New Roman" w:hAnsi="Times New Roman" w:cs="Times New Roman"/>
        </w:rPr>
        <w:t xml:space="preserve">. </w:t>
      </w:r>
      <w:hyperlink r:id="rId36" w:history="1">
        <w:r w:rsidRPr="001B7E2B">
          <w:rPr>
            <w:rStyle w:val="Hyperlink"/>
            <w:rFonts w:ascii="Times New Roman" w:hAnsi="Times New Roman" w:cs="Times New Roman"/>
          </w:rPr>
          <w:t>https://www.brookings.edu/articles/more-money-is-not-enough-the-case-for-reconsidering-federal-special-education-funding-formulas/</w:t>
        </w:r>
      </w:hyperlink>
    </w:p>
    <w:p w14:paraId="4F756123"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McGuire, T. J., Papke, L. E., &amp; </w:t>
      </w:r>
      <w:proofErr w:type="spellStart"/>
      <w:r w:rsidRPr="001B7E2B">
        <w:rPr>
          <w:rFonts w:ascii="Times New Roman" w:hAnsi="Times New Roman" w:cs="Times New Roman"/>
        </w:rPr>
        <w:t>Reschovsky</w:t>
      </w:r>
      <w:proofErr w:type="spellEnd"/>
      <w:r w:rsidRPr="001B7E2B">
        <w:rPr>
          <w:rFonts w:ascii="Times New Roman" w:hAnsi="Times New Roman" w:cs="Times New Roman"/>
        </w:rPr>
        <w:t xml:space="preserve">, A. (2015). Local funding of schools: The property tax and its alternatives. In H. F. Ladd &amp; M. E. Goertz (Eds.), </w:t>
      </w:r>
      <w:r w:rsidRPr="001B7E2B">
        <w:rPr>
          <w:rFonts w:ascii="Times New Roman" w:hAnsi="Times New Roman" w:cs="Times New Roman"/>
          <w:i/>
          <w:iCs/>
        </w:rPr>
        <w:t>Handbook of Research in Education Finance and Policy</w:t>
      </w:r>
      <w:r w:rsidRPr="001B7E2B">
        <w:rPr>
          <w:rFonts w:ascii="Times New Roman" w:hAnsi="Times New Roman" w:cs="Times New Roman"/>
        </w:rPr>
        <w:t xml:space="preserve"> (pp. 376–391).</w:t>
      </w:r>
    </w:p>
    <w:p w14:paraId="651C6CC8"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Mehiriz, K., &amp; Marceau, R. (2014). The flypaper and asymmetric effects of intergovernmental grants to Quebec municipalities. </w:t>
      </w:r>
      <w:r w:rsidRPr="001B7E2B">
        <w:rPr>
          <w:rFonts w:ascii="Times New Roman" w:hAnsi="Times New Roman" w:cs="Times New Roman"/>
          <w:i/>
          <w:iCs/>
        </w:rPr>
        <w:t>Public Budgeting and Finance</w:t>
      </w:r>
      <w:r w:rsidRPr="001B7E2B">
        <w:rPr>
          <w:rFonts w:ascii="Times New Roman" w:hAnsi="Times New Roman" w:cs="Times New Roman"/>
        </w:rPr>
        <w:t xml:space="preserve">, </w:t>
      </w:r>
      <w:r w:rsidRPr="001B7E2B">
        <w:rPr>
          <w:rFonts w:ascii="Times New Roman" w:hAnsi="Times New Roman" w:cs="Times New Roman"/>
          <w:i/>
          <w:iCs/>
        </w:rPr>
        <w:t>34</w:t>
      </w:r>
      <w:r w:rsidRPr="001B7E2B">
        <w:rPr>
          <w:rFonts w:ascii="Times New Roman" w:hAnsi="Times New Roman" w:cs="Times New Roman"/>
        </w:rPr>
        <w:t xml:space="preserve">(1), 85–102. </w:t>
      </w:r>
      <w:hyperlink r:id="rId37" w:history="1">
        <w:r w:rsidRPr="001B7E2B">
          <w:rPr>
            <w:rStyle w:val="Hyperlink"/>
            <w:rFonts w:ascii="Times New Roman" w:hAnsi="Times New Roman" w:cs="Times New Roman"/>
          </w:rPr>
          <w:t>https://doi.org/10.1111/pbaf.12026</w:t>
        </w:r>
      </w:hyperlink>
    </w:p>
    <w:p w14:paraId="0E86208E"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Nagel, J. (2021). </w:t>
      </w:r>
      <w:r w:rsidRPr="001B7E2B">
        <w:rPr>
          <w:rFonts w:ascii="Times New Roman" w:hAnsi="Times New Roman" w:cs="Times New Roman"/>
          <w:i/>
          <w:iCs/>
        </w:rPr>
        <w:t>Special Education Finance in Michigan: Implications for Equity</w:t>
      </w:r>
      <w:r w:rsidRPr="001B7E2B">
        <w:rPr>
          <w:rFonts w:ascii="Times New Roman" w:hAnsi="Times New Roman" w:cs="Times New Roman"/>
        </w:rPr>
        <w:t>. Michigan State University.</w:t>
      </w:r>
    </w:p>
    <w:p w14:paraId="4A9BB0A4"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Papke, L. E. (2005). The effects of spending on test pass rates: Evidence from Michigan. </w:t>
      </w:r>
      <w:r w:rsidRPr="001B7E2B">
        <w:rPr>
          <w:rFonts w:ascii="Times New Roman" w:hAnsi="Times New Roman" w:cs="Times New Roman"/>
          <w:i/>
          <w:iCs/>
        </w:rPr>
        <w:t>Journal of Public Economics</w:t>
      </w:r>
      <w:r w:rsidRPr="001B7E2B">
        <w:rPr>
          <w:rFonts w:ascii="Times New Roman" w:hAnsi="Times New Roman" w:cs="Times New Roman"/>
        </w:rPr>
        <w:t xml:space="preserve">, </w:t>
      </w:r>
      <w:r w:rsidRPr="001B7E2B">
        <w:rPr>
          <w:rFonts w:ascii="Times New Roman" w:hAnsi="Times New Roman" w:cs="Times New Roman"/>
          <w:i/>
          <w:iCs/>
        </w:rPr>
        <w:t>89</w:t>
      </w:r>
      <w:r w:rsidRPr="001B7E2B">
        <w:rPr>
          <w:rFonts w:ascii="Times New Roman" w:hAnsi="Times New Roman" w:cs="Times New Roman"/>
        </w:rPr>
        <w:t xml:space="preserve">(5–6), 821–839. </w:t>
      </w:r>
      <w:hyperlink r:id="rId38" w:history="1">
        <w:r w:rsidRPr="001B7E2B">
          <w:rPr>
            <w:rStyle w:val="Hyperlink"/>
            <w:rFonts w:ascii="Times New Roman" w:hAnsi="Times New Roman" w:cs="Times New Roman"/>
          </w:rPr>
          <w:t>https://doi.org/10.1016/j.jpubeco.2004.05.008</w:t>
        </w:r>
      </w:hyperlink>
    </w:p>
    <w:p w14:paraId="51D4613D"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Papke, L. E. (2008). The Effects of Changes in Michigan’s School Finance System. </w:t>
      </w:r>
      <w:r w:rsidRPr="001B7E2B">
        <w:rPr>
          <w:rFonts w:ascii="Times New Roman" w:hAnsi="Times New Roman" w:cs="Times New Roman"/>
          <w:i/>
          <w:iCs/>
        </w:rPr>
        <w:t>Public Finance Review</w:t>
      </w:r>
      <w:r w:rsidRPr="001B7E2B">
        <w:rPr>
          <w:rFonts w:ascii="Times New Roman" w:hAnsi="Times New Roman" w:cs="Times New Roman"/>
        </w:rPr>
        <w:t xml:space="preserve">, </w:t>
      </w:r>
      <w:r w:rsidRPr="001B7E2B">
        <w:rPr>
          <w:rFonts w:ascii="Times New Roman" w:hAnsi="Times New Roman" w:cs="Times New Roman"/>
          <w:i/>
          <w:iCs/>
        </w:rPr>
        <w:t>36</w:t>
      </w:r>
      <w:r w:rsidRPr="001B7E2B">
        <w:rPr>
          <w:rFonts w:ascii="Times New Roman" w:hAnsi="Times New Roman" w:cs="Times New Roman"/>
        </w:rPr>
        <w:t xml:space="preserve">(4), 456–474. </w:t>
      </w:r>
      <w:hyperlink r:id="rId39" w:history="1">
        <w:r w:rsidRPr="001B7E2B">
          <w:rPr>
            <w:rStyle w:val="Hyperlink"/>
            <w:rFonts w:ascii="Times New Roman" w:hAnsi="Times New Roman" w:cs="Times New Roman"/>
          </w:rPr>
          <w:t>https://doi.org/10.1177/1091142107306287</w:t>
        </w:r>
      </w:hyperlink>
    </w:p>
    <w:p w14:paraId="5BA33CF2"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Parrish, T. B., Harr-Robins, J. J., &amp; Chambers, J. G. (2015). Special Education. In H. F. Ladd &amp; M. E. Goertz (Eds.), </w:t>
      </w:r>
      <w:r w:rsidRPr="001B7E2B">
        <w:rPr>
          <w:rFonts w:ascii="Times New Roman" w:hAnsi="Times New Roman" w:cs="Times New Roman"/>
          <w:i/>
          <w:iCs/>
        </w:rPr>
        <w:t>Handbook of Research in Education Finance and Policy</w:t>
      </w:r>
      <w:r w:rsidRPr="001B7E2B">
        <w:rPr>
          <w:rFonts w:ascii="Times New Roman" w:hAnsi="Times New Roman" w:cs="Times New Roman"/>
        </w:rPr>
        <w:t xml:space="preserve"> (pp. 567–584). Taylor &amp; Francis Group.</w:t>
      </w:r>
    </w:p>
    <w:p w14:paraId="2065FD50"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Purtle, J., Wynecoop, M., Crane, M. E., &amp; Stadnick, N. A. (2023). Earmarked taxes for mental health services in the United States: A local and state legal mapping study. </w:t>
      </w:r>
      <w:r w:rsidRPr="001B7E2B">
        <w:rPr>
          <w:rFonts w:ascii="Times New Roman" w:hAnsi="Times New Roman" w:cs="Times New Roman"/>
          <w:i/>
          <w:iCs/>
        </w:rPr>
        <w:t>The Milbank Quarterly</w:t>
      </w:r>
      <w:r w:rsidRPr="001B7E2B">
        <w:rPr>
          <w:rFonts w:ascii="Times New Roman" w:hAnsi="Times New Roman" w:cs="Times New Roman"/>
        </w:rPr>
        <w:t xml:space="preserve">, </w:t>
      </w:r>
      <w:r w:rsidRPr="001B7E2B">
        <w:rPr>
          <w:rFonts w:ascii="Times New Roman" w:hAnsi="Times New Roman" w:cs="Times New Roman"/>
          <w:i/>
          <w:iCs/>
        </w:rPr>
        <w:t>101</w:t>
      </w:r>
      <w:r w:rsidRPr="001B7E2B">
        <w:rPr>
          <w:rFonts w:ascii="Times New Roman" w:hAnsi="Times New Roman" w:cs="Times New Roman"/>
        </w:rPr>
        <w:t xml:space="preserve">(2), 457–485. </w:t>
      </w:r>
      <w:hyperlink r:id="rId40" w:history="1">
        <w:r w:rsidRPr="001B7E2B">
          <w:rPr>
            <w:rStyle w:val="Hyperlink"/>
            <w:rFonts w:ascii="Times New Roman" w:hAnsi="Times New Roman" w:cs="Times New Roman"/>
          </w:rPr>
          <w:t>https://doi.org/10.1111/1468-0009.12643</w:t>
        </w:r>
      </w:hyperlink>
    </w:p>
    <w:p w14:paraId="03B3A109"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Rushton, M. (2004). Earmarked taxes for the arts: US experience and policy implications. </w:t>
      </w:r>
      <w:r w:rsidRPr="001B7E2B">
        <w:rPr>
          <w:rFonts w:ascii="Times New Roman" w:hAnsi="Times New Roman" w:cs="Times New Roman"/>
          <w:i/>
          <w:iCs/>
        </w:rPr>
        <w:t>International Journal of Arts Management</w:t>
      </w:r>
      <w:r w:rsidRPr="001B7E2B">
        <w:rPr>
          <w:rFonts w:ascii="Times New Roman" w:hAnsi="Times New Roman" w:cs="Times New Roman"/>
        </w:rPr>
        <w:t xml:space="preserve">, </w:t>
      </w:r>
      <w:r w:rsidRPr="001B7E2B">
        <w:rPr>
          <w:rFonts w:ascii="Times New Roman" w:hAnsi="Times New Roman" w:cs="Times New Roman"/>
          <w:i/>
          <w:iCs/>
        </w:rPr>
        <w:t>6</w:t>
      </w:r>
      <w:r w:rsidRPr="001B7E2B">
        <w:rPr>
          <w:rFonts w:ascii="Times New Roman" w:hAnsi="Times New Roman" w:cs="Times New Roman"/>
        </w:rPr>
        <w:t>(3), 38–48.</w:t>
      </w:r>
    </w:p>
    <w:p w14:paraId="1D3587E0"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Rushton, M. (2005). Support for earmarked public spending on culture: Evidence from a referendum in metropolitan Detroit. </w:t>
      </w:r>
      <w:r w:rsidRPr="001B7E2B">
        <w:rPr>
          <w:rFonts w:ascii="Times New Roman" w:hAnsi="Times New Roman" w:cs="Times New Roman"/>
          <w:i/>
          <w:iCs/>
        </w:rPr>
        <w:t>Public Budgeting and Finance</w:t>
      </w:r>
      <w:r w:rsidRPr="001B7E2B">
        <w:rPr>
          <w:rFonts w:ascii="Times New Roman" w:hAnsi="Times New Roman" w:cs="Times New Roman"/>
        </w:rPr>
        <w:t xml:space="preserve">, </w:t>
      </w:r>
      <w:r w:rsidRPr="001B7E2B">
        <w:rPr>
          <w:rFonts w:ascii="Times New Roman" w:hAnsi="Times New Roman" w:cs="Times New Roman"/>
          <w:i/>
          <w:iCs/>
        </w:rPr>
        <w:t>25</w:t>
      </w:r>
      <w:r w:rsidRPr="001B7E2B">
        <w:rPr>
          <w:rFonts w:ascii="Times New Roman" w:hAnsi="Times New Roman" w:cs="Times New Roman"/>
        </w:rPr>
        <w:t xml:space="preserve">(4), 72–85. </w:t>
      </w:r>
      <w:hyperlink r:id="rId41" w:history="1">
        <w:r w:rsidRPr="001B7E2B">
          <w:rPr>
            <w:rStyle w:val="Hyperlink"/>
            <w:rFonts w:ascii="Times New Roman" w:hAnsi="Times New Roman" w:cs="Times New Roman"/>
          </w:rPr>
          <w:t>https://doi.org/10.1111/j.1540-5850.2005.00374.x</w:t>
        </w:r>
      </w:hyperlink>
    </w:p>
    <w:p w14:paraId="29AA594B" w14:textId="3ECA8200"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Shah, A. (2006). </w:t>
      </w:r>
      <w:r w:rsidRPr="001B7E2B">
        <w:rPr>
          <w:rFonts w:ascii="Times New Roman" w:hAnsi="Times New Roman" w:cs="Times New Roman"/>
          <w:i/>
          <w:iCs/>
        </w:rPr>
        <w:t>A practi</w:t>
      </w:r>
      <w:r w:rsidR="00CA5B17">
        <w:rPr>
          <w:rFonts w:ascii="Times New Roman" w:hAnsi="Times New Roman" w:cs="Times New Roman"/>
          <w:i/>
          <w:iCs/>
        </w:rPr>
        <w:t>ti</w:t>
      </w:r>
      <w:r w:rsidRPr="001B7E2B">
        <w:rPr>
          <w:rFonts w:ascii="Times New Roman" w:hAnsi="Times New Roman" w:cs="Times New Roman"/>
          <w:i/>
          <w:iCs/>
        </w:rPr>
        <w:t>oner’s guide to intergovernmental fiscal transfers</w:t>
      </w:r>
      <w:r w:rsidRPr="001B7E2B">
        <w:rPr>
          <w:rFonts w:ascii="Times New Roman" w:hAnsi="Times New Roman" w:cs="Times New Roman"/>
        </w:rPr>
        <w:t xml:space="preserve">. World Bank. </w:t>
      </w:r>
      <w:hyperlink r:id="rId42" w:history="1">
        <w:r w:rsidRPr="001B7E2B">
          <w:rPr>
            <w:rStyle w:val="Hyperlink"/>
            <w:rFonts w:ascii="Times New Roman" w:hAnsi="Times New Roman" w:cs="Times New Roman"/>
          </w:rPr>
          <w:t>https://doi.org/10.1596/1813-9450-4039</w:t>
        </w:r>
      </w:hyperlink>
    </w:p>
    <w:p w14:paraId="07305F93"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Singhal, M. (2008). Special interest groups and the allocation of public funds. </w:t>
      </w:r>
      <w:r w:rsidRPr="001B7E2B">
        <w:rPr>
          <w:rFonts w:ascii="Times New Roman" w:hAnsi="Times New Roman" w:cs="Times New Roman"/>
          <w:i/>
          <w:iCs/>
        </w:rPr>
        <w:t>Journal of Public Economics</w:t>
      </w:r>
      <w:r w:rsidRPr="001B7E2B">
        <w:rPr>
          <w:rFonts w:ascii="Times New Roman" w:hAnsi="Times New Roman" w:cs="Times New Roman"/>
        </w:rPr>
        <w:t xml:space="preserve">, </w:t>
      </w:r>
      <w:r w:rsidRPr="001B7E2B">
        <w:rPr>
          <w:rFonts w:ascii="Times New Roman" w:hAnsi="Times New Roman" w:cs="Times New Roman"/>
          <w:i/>
          <w:iCs/>
        </w:rPr>
        <w:t>92</w:t>
      </w:r>
      <w:r w:rsidRPr="001B7E2B">
        <w:rPr>
          <w:rFonts w:ascii="Times New Roman" w:hAnsi="Times New Roman" w:cs="Times New Roman"/>
        </w:rPr>
        <w:t xml:space="preserve">, 548–564. </w:t>
      </w:r>
      <w:hyperlink r:id="rId43" w:history="1">
        <w:r w:rsidRPr="001B7E2B">
          <w:rPr>
            <w:rStyle w:val="Hyperlink"/>
            <w:rFonts w:ascii="Times New Roman" w:hAnsi="Times New Roman" w:cs="Times New Roman"/>
          </w:rPr>
          <w:t>https://doi.org/10.1016/j.jpubeco.2007.05.005</w:t>
        </w:r>
      </w:hyperlink>
    </w:p>
    <w:p w14:paraId="65CF4F42" w14:textId="77777777"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Thornton, J. P. (2014). Flypaper nonprofits: The impact of federal grant structure on nonprofit expenditure decisions. </w:t>
      </w:r>
      <w:r w:rsidRPr="001B7E2B">
        <w:rPr>
          <w:rFonts w:ascii="Times New Roman" w:hAnsi="Times New Roman" w:cs="Times New Roman"/>
          <w:i/>
          <w:iCs/>
        </w:rPr>
        <w:t>Public Finance Review</w:t>
      </w:r>
      <w:r w:rsidRPr="001B7E2B">
        <w:rPr>
          <w:rFonts w:ascii="Times New Roman" w:hAnsi="Times New Roman" w:cs="Times New Roman"/>
        </w:rPr>
        <w:t xml:space="preserve">, </w:t>
      </w:r>
      <w:r w:rsidRPr="001B7E2B">
        <w:rPr>
          <w:rFonts w:ascii="Times New Roman" w:hAnsi="Times New Roman" w:cs="Times New Roman"/>
          <w:i/>
          <w:iCs/>
        </w:rPr>
        <w:t>42</w:t>
      </w:r>
      <w:r w:rsidRPr="001B7E2B">
        <w:rPr>
          <w:rFonts w:ascii="Times New Roman" w:hAnsi="Times New Roman" w:cs="Times New Roman"/>
        </w:rPr>
        <w:t xml:space="preserve">(2), 176–198. </w:t>
      </w:r>
      <w:hyperlink r:id="rId44" w:history="1">
        <w:r w:rsidRPr="001B7E2B">
          <w:rPr>
            <w:rStyle w:val="Hyperlink"/>
            <w:rFonts w:ascii="Times New Roman" w:hAnsi="Times New Roman" w:cs="Times New Roman"/>
          </w:rPr>
          <w:t>https://doi.org/10.1177/1091142112446845</w:t>
        </w:r>
      </w:hyperlink>
    </w:p>
    <w:p w14:paraId="5D209468" w14:textId="5BDE2055"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Tsang, M., &amp; Levin, H. M. (1983). The impact of intergovernmental grants on educational expenditure. </w:t>
      </w:r>
      <w:r w:rsidRPr="001B7E2B">
        <w:rPr>
          <w:rFonts w:ascii="Times New Roman" w:hAnsi="Times New Roman" w:cs="Times New Roman"/>
          <w:i/>
          <w:iCs/>
        </w:rPr>
        <w:t>Review of Educational Research</w:t>
      </w:r>
      <w:r w:rsidRPr="001B7E2B">
        <w:rPr>
          <w:rFonts w:ascii="Times New Roman" w:hAnsi="Times New Roman" w:cs="Times New Roman"/>
        </w:rPr>
        <w:t xml:space="preserve">, </w:t>
      </w:r>
      <w:r w:rsidRPr="001B7E2B">
        <w:rPr>
          <w:rFonts w:ascii="Times New Roman" w:hAnsi="Times New Roman" w:cs="Times New Roman"/>
          <w:i/>
          <w:iCs/>
        </w:rPr>
        <w:t>53</w:t>
      </w:r>
      <w:r w:rsidRPr="001B7E2B">
        <w:rPr>
          <w:rFonts w:ascii="Times New Roman" w:hAnsi="Times New Roman" w:cs="Times New Roman"/>
        </w:rPr>
        <w:t xml:space="preserve">(3), 329–367. </w:t>
      </w:r>
      <w:hyperlink r:id="rId45" w:history="1">
        <w:r w:rsidRPr="001B7E2B">
          <w:rPr>
            <w:rStyle w:val="Hyperlink"/>
            <w:rFonts w:ascii="Times New Roman" w:hAnsi="Times New Roman" w:cs="Times New Roman"/>
          </w:rPr>
          <w:t>https://doi.org/10.3102/00346543053003329</w:t>
        </w:r>
      </w:hyperlink>
    </w:p>
    <w:p w14:paraId="45EA362B" w14:textId="217E4E02" w:rsidR="001B7E2B" w:rsidRPr="001B7E2B" w:rsidRDefault="001B7E2B" w:rsidP="001B7E2B">
      <w:pPr>
        <w:spacing w:after="0" w:line="240" w:lineRule="auto"/>
        <w:ind w:left="720" w:hanging="720"/>
        <w:rPr>
          <w:rFonts w:ascii="Times New Roman" w:hAnsi="Times New Roman" w:cs="Times New Roman"/>
        </w:rPr>
      </w:pPr>
      <w:r w:rsidRPr="001B7E2B">
        <w:rPr>
          <w:rFonts w:ascii="Times New Roman" w:hAnsi="Times New Roman" w:cs="Times New Roman"/>
        </w:rPr>
        <w:t xml:space="preserve">Wooldridge, J. (2025). Two-way fixed effects, the two-way </w:t>
      </w:r>
      <w:proofErr w:type="spellStart"/>
      <w:r w:rsidR="00CA5B17">
        <w:rPr>
          <w:rFonts w:ascii="Times New Roman" w:hAnsi="Times New Roman" w:cs="Times New Roman"/>
        </w:rPr>
        <w:t>M</w:t>
      </w:r>
      <w:r w:rsidRPr="001B7E2B">
        <w:rPr>
          <w:rFonts w:ascii="Times New Roman" w:hAnsi="Times New Roman" w:cs="Times New Roman"/>
        </w:rPr>
        <w:t>undlak</w:t>
      </w:r>
      <w:proofErr w:type="spellEnd"/>
      <w:r w:rsidRPr="001B7E2B">
        <w:rPr>
          <w:rFonts w:ascii="Times New Roman" w:hAnsi="Times New Roman" w:cs="Times New Roman"/>
        </w:rPr>
        <w:t xml:space="preserve"> regression, and difference-in-difference estimators. </w:t>
      </w:r>
      <w:r w:rsidRPr="001B7E2B">
        <w:rPr>
          <w:rFonts w:ascii="Times New Roman" w:hAnsi="Times New Roman" w:cs="Times New Roman"/>
          <w:i/>
          <w:iCs/>
        </w:rPr>
        <w:t>Empirical Economics</w:t>
      </w:r>
      <w:r w:rsidRPr="001B7E2B">
        <w:rPr>
          <w:rFonts w:ascii="Times New Roman" w:hAnsi="Times New Roman" w:cs="Times New Roman"/>
        </w:rPr>
        <w:t xml:space="preserve">, </w:t>
      </w:r>
      <w:r w:rsidRPr="001B7E2B">
        <w:rPr>
          <w:rFonts w:ascii="Times New Roman" w:hAnsi="Times New Roman" w:cs="Times New Roman"/>
          <w:i/>
          <w:iCs/>
        </w:rPr>
        <w:t>69</w:t>
      </w:r>
      <w:r w:rsidRPr="001B7E2B">
        <w:rPr>
          <w:rFonts w:ascii="Times New Roman" w:hAnsi="Times New Roman" w:cs="Times New Roman"/>
        </w:rPr>
        <w:t xml:space="preserve">, 2587. </w:t>
      </w:r>
      <w:hyperlink r:id="rId46" w:history="1">
        <w:r w:rsidRPr="001B7E2B">
          <w:rPr>
            <w:rStyle w:val="Hyperlink"/>
            <w:rFonts w:ascii="Times New Roman" w:hAnsi="Times New Roman" w:cs="Times New Roman"/>
          </w:rPr>
          <w:t>https://doi.org/10.1007/s00181-025-02807-z</w:t>
        </w:r>
      </w:hyperlink>
    </w:p>
    <w:p w14:paraId="62BACC9A" w14:textId="77777777" w:rsidR="00627991" w:rsidRDefault="00627991" w:rsidP="001B7E2B">
      <w:pPr>
        <w:spacing w:after="0" w:line="240" w:lineRule="auto"/>
        <w:ind w:left="360" w:hanging="360"/>
        <w:rPr>
          <w:rFonts w:ascii="Times New Roman" w:hAnsi="Times New Roman" w:cs="Times New Roman"/>
        </w:rPr>
      </w:pPr>
    </w:p>
    <w:p w14:paraId="5C83A641" w14:textId="77777777" w:rsidR="009E1D45" w:rsidRDefault="009E1D45" w:rsidP="001B7E2B">
      <w:pPr>
        <w:spacing w:after="0" w:line="240" w:lineRule="auto"/>
        <w:ind w:left="360" w:hanging="360"/>
        <w:rPr>
          <w:rFonts w:ascii="Times New Roman" w:hAnsi="Times New Roman" w:cs="Times New Roman"/>
        </w:rPr>
      </w:pPr>
    </w:p>
    <w:p w14:paraId="7DC4CC7F" w14:textId="77777777" w:rsidR="009E1D45" w:rsidRDefault="009E1D45" w:rsidP="001B7E2B">
      <w:pPr>
        <w:spacing w:after="0" w:line="240" w:lineRule="auto"/>
        <w:ind w:left="360" w:hanging="360"/>
        <w:rPr>
          <w:rFonts w:ascii="Times New Roman" w:hAnsi="Times New Roman" w:cs="Times New Roman"/>
        </w:rPr>
      </w:pPr>
    </w:p>
    <w:p w14:paraId="631F57A5" w14:textId="77777777" w:rsidR="009E1D45" w:rsidRDefault="009E1D45" w:rsidP="001B7E2B">
      <w:pPr>
        <w:spacing w:after="0" w:line="240" w:lineRule="auto"/>
        <w:ind w:left="360" w:hanging="360"/>
        <w:rPr>
          <w:rFonts w:ascii="Times New Roman" w:hAnsi="Times New Roman" w:cs="Times New Roman"/>
        </w:rPr>
        <w:sectPr w:rsidR="009E1D45">
          <w:pgSz w:w="12240" w:h="15840"/>
          <w:pgMar w:top="1440" w:right="1440" w:bottom="1440" w:left="1440" w:header="720" w:footer="720" w:gutter="0"/>
          <w:cols w:space="720"/>
          <w:docGrid w:linePitch="360"/>
        </w:sectPr>
      </w:pPr>
    </w:p>
    <w:p w14:paraId="447234A0" w14:textId="77777777" w:rsidR="009E1D45" w:rsidRDefault="009E1D45" w:rsidP="009E1D45">
      <w:pPr>
        <w:spacing w:after="0" w:line="240" w:lineRule="auto"/>
        <w:jc w:val="center"/>
        <w:rPr>
          <w:rFonts w:ascii="Times New Roman" w:hAnsi="Times New Roman" w:cs="Times New Roman"/>
          <w:b/>
          <w:bCs/>
        </w:rPr>
      </w:pPr>
      <w:r>
        <w:rPr>
          <w:rFonts w:ascii="Times New Roman" w:hAnsi="Times New Roman" w:cs="Times New Roman"/>
          <w:b/>
          <w:bCs/>
        </w:rPr>
        <w:lastRenderedPageBreak/>
        <w:t>Figure 1: Trends in Michigan School District Revenues and Expenditures, 1991-2025</w:t>
      </w:r>
    </w:p>
    <w:p w14:paraId="6C59B63D" w14:textId="77777777" w:rsidR="009E1D45" w:rsidRDefault="009E1D45" w:rsidP="009E1D45">
      <w:pPr>
        <w:spacing w:after="0" w:line="240" w:lineRule="auto"/>
        <w:jc w:val="center"/>
        <w:rPr>
          <w:rFonts w:ascii="Times New Roman" w:hAnsi="Times New Roman" w:cs="Times New Roman"/>
          <w:b/>
          <w:bCs/>
        </w:rPr>
      </w:pPr>
      <w:r>
        <w:rPr>
          <w:rFonts w:ascii="Times New Roman" w:hAnsi="Times New Roman" w:cs="Times New Roman"/>
          <w:b/>
          <w:bCs/>
        </w:rPr>
        <w:t>Panel A: Average School District Per Pupil Revenues by Revenue Source</w:t>
      </w:r>
    </w:p>
    <w:p w14:paraId="48B13360" w14:textId="77777777" w:rsidR="009E1D45" w:rsidRDefault="009E1D45" w:rsidP="009E1D45">
      <w:pPr>
        <w:jc w:val="center"/>
        <w:rPr>
          <w:rFonts w:ascii="Times New Roman" w:hAnsi="Times New Roman" w:cs="Times New Roman"/>
          <w:b/>
          <w:bCs/>
        </w:rPr>
      </w:pPr>
      <w:r>
        <w:rPr>
          <w:rFonts w:ascii="Times New Roman" w:hAnsi="Times New Roman" w:cs="Times New Roman"/>
          <w:b/>
          <w:bCs/>
          <w:noProof/>
        </w:rPr>
        <w:drawing>
          <wp:inline distT="0" distB="0" distL="0" distR="0" wp14:anchorId="400BC2BA" wp14:editId="2762C76B">
            <wp:extent cx="5943600" cy="2967355"/>
            <wp:effectExtent l="0" t="0" r="0" b="4445"/>
            <wp:docPr id="8312037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03740" name="Picture 83120374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510CD565" w14:textId="77777777" w:rsidR="009E1D45" w:rsidRDefault="009E1D45" w:rsidP="009E1D45">
      <w:pPr>
        <w:jc w:val="center"/>
        <w:rPr>
          <w:rFonts w:ascii="Times New Roman" w:hAnsi="Times New Roman" w:cs="Times New Roman"/>
          <w:b/>
          <w:bCs/>
        </w:rPr>
      </w:pPr>
      <w:r>
        <w:rPr>
          <w:rFonts w:ascii="Times New Roman" w:hAnsi="Times New Roman" w:cs="Times New Roman"/>
          <w:b/>
          <w:bCs/>
        </w:rPr>
        <w:t>Panel B: Average School District Per Pupil Expenditures by Expenditure Type</w:t>
      </w:r>
    </w:p>
    <w:p w14:paraId="746376A1" w14:textId="77777777" w:rsidR="009E1D45" w:rsidRDefault="009E1D45" w:rsidP="009E1D45">
      <w:pPr>
        <w:ind w:left="720" w:hanging="720"/>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3749720B" wp14:editId="408AC98C">
            <wp:extent cx="5943600" cy="2967355"/>
            <wp:effectExtent l="0" t="0" r="0" b="4445"/>
            <wp:docPr id="8534312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31233" name="Picture 85343123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26CAF0C1" w14:textId="77777777" w:rsidR="009E1D45" w:rsidRDefault="009E1D45" w:rsidP="009E1D45">
      <w:pPr>
        <w:spacing w:after="0" w:line="240" w:lineRule="auto"/>
        <w:rPr>
          <w:rFonts w:ascii="Times New Roman" w:hAnsi="Times New Roman" w:cs="Times New Roman"/>
          <w:i/>
          <w:iCs/>
          <w:sz w:val="20"/>
          <w:szCs w:val="20"/>
        </w:rPr>
      </w:pPr>
      <w:r w:rsidRPr="007B176C">
        <w:rPr>
          <w:rFonts w:ascii="Times New Roman" w:hAnsi="Times New Roman" w:cs="Times New Roman"/>
          <w:i/>
          <w:iCs/>
          <w:sz w:val="20"/>
          <w:szCs w:val="20"/>
        </w:rPr>
        <w:t>Notes: Average per pupil revenues and expenditures in Michigan school districts, 1990-91 through 2024-25 school</w:t>
      </w:r>
      <w:r>
        <w:rPr>
          <w:rFonts w:ascii="Times New Roman" w:hAnsi="Times New Roman" w:cs="Times New Roman"/>
          <w:i/>
          <w:iCs/>
          <w:sz w:val="20"/>
          <w:szCs w:val="20"/>
        </w:rPr>
        <w:t xml:space="preserve"> </w:t>
      </w:r>
      <w:r w:rsidRPr="007B176C">
        <w:rPr>
          <w:rFonts w:ascii="Times New Roman" w:hAnsi="Times New Roman" w:cs="Times New Roman"/>
          <w:i/>
          <w:iCs/>
          <w:sz w:val="20"/>
          <w:szCs w:val="20"/>
        </w:rPr>
        <w:t>years. Revenue data and district-level enrollment collected from Michigan Department of Education Bulletin 1014. Expenditure data collected from Michigan School District Financial Form B and the Financial Information Database. All dollar values adjusted to 2025 dollars using the GDP S&amp;L price deflator.</w:t>
      </w:r>
    </w:p>
    <w:p w14:paraId="5282F61A" w14:textId="77777777" w:rsidR="009E1D45" w:rsidRDefault="009E1D45" w:rsidP="009E1D45">
      <w:pPr>
        <w:spacing w:after="0" w:line="240" w:lineRule="auto"/>
        <w:rPr>
          <w:rFonts w:ascii="Times New Roman" w:hAnsi="Times New Roman" w:cs="Times New Roman"/>
          <w:i/>
          <w:iCs/>
          <w:sz w:val="20"/>
          <w:szCs w:val="20"/>
        </w:rPr>
      </w:pPr>
    </w:p>
    <w:p w14:paraId="0528230F" w14:textId="77777777" w:rsidR="009E1D45" w:rsidRDefault="009E1D45" w:rsidP="009E1D45">
      <w:pPr>
        <w:spacing w:after="0" w:line="240" w:lineRule="auto"/>
        <w:rPr>
          <w:rFonts w:ascii="Times New Roman" w:hAnsi="Times New Roman" w:cs="Times New Roman"/>
          <w:i/>
          <w:iCs/>
          <w:sz w:val="20"/>
          <w:szCs w:val="20"/>
        </w:rPr>
      </w:pPr>
    </w:p>
    <w:p w14:paraId="6FD5A13B" w14:textId="77777777" w:rsidR="009E1D45" w:rsidRDefault="009E1D45" w:rsidP="009E1D45">
      <w:pPr>
        <w:spacing w:after="0" w:line="240" w:lineRule="auto"/>
        <w:rPr>
          <w:rFonts w:ascii="Times New Roman" w:hAnsi="Times New Roman" w:cs="Times New Roman"/>
          <w:i/>
          <w:iCs/>
          <w:sz w:val="20"/>
          <w:szCs w:val="20"/>
        </w:rPr>
      </w:pPr>
    </w:p>
    <w:p w14:paraId="719749C5" w14:textId="77777777" w:rsidR="009E1D45" w:rsidRDefault="009E1D45" w:rsidP="009E1D45">
      <w:pPr>
        <w:spacing w:after="0" w:line="240" w:lineRule="auto"/>
        <w:rPr>
          <w:rFonts w:ascii="Times New Roman" w:hAnsi="Times New Roman" w:cs="Times New Roman"/>
          <w:i/>
          <w:iCs/>
          <w:sz w:val="20"/>
          <w:szCs w:val="20"/>
        </w:rPr>
      </w:pPr>
    </w:p>
    <w:p w14:paraId="53F5F5A3" w14:textId="77777777" w:rsidR="009E1D45" w:rsidRPr="007B176C" w:rsidRDefault="009E1D45" w:rsidP="009E1D45">
      <w:pPr>
        <w:spacing w:after="0" w:line="240" w:lineRule="auto"/>
        <w:rPr>
          <w:rFonts w:ascii="Times New Roman" w:hAnsi="Times New Roman" w:cs="Times New Roman"/>
          <w:b/>
          <w:bCs/>
        </w:rPr>
      </w:pPr>
    </w:p>
    <w:p w14:paraId="1DDD5DC9" w14:textId="77777777" w:rsidR="009E1D45" w:rsidRDefault="009E1D45" w:rsidP="009E1D45">
      <w:pPr>
        <w:jc w:val="center"/>
        <w:rPr>
          <w:rFonts w:ascii="Times New Roman" w:hAnsi="Times New Roman" w:cs="Times New Roman"/>
          <w:b/>
          <w:bCs/>
        </w:rPr>
      </w:pPr>
      <w:r>
        <w:rPr>
          <w:rFonts w:ascii="Times New Roman" w:hAnsi="Times New Roman" w:cs="Times New Roman"/>
          <w:b/>
          <w:bCs/>
        </w:rPr>
        <w:lastRenderedPageBreak/>
        <w:t>Figure 2: Map of Ingham ISD and Constituent School Districts</w:t>
      </w:r>
    </w:p>
    <w:p w14:paraId="5063AD41" w14:textId="77777777" w:rsidR="009E1D45" w:rsidRDefault="009E1D45" w:rsidP="009E1D45">
      <w:pPr>
        <w:jc w:val="center"/>
        <w:rPr>
          <w:rFonts w:ascii="Times New Roman" w:hAnsi="Times New Roman" w:cs="Times New Roman"/>
          <w:b/>
          <w:bCs/>
        </w:rPr>
      </w:pPr>
      <w:r>
        <w:rPr>
          <w:rFonts w:ascii="Times New Roman" w:hAnsi="Times New Roman" w:cs="Times New Roman"/>
          <w:b/>
          <w:bCs/>
          <w:noProof/>
        </w:rPr>
        <w:drawing>
          <wp:inline distT="0" distB="0" distL="0" distR="0" wp14:anchorId="47A676D3" wp14:editId="58296507">
            <wp:extent cx="5943600" cy="3467100"/>
            <wp:effectExtent l="0" t="0" r="0" b="0"/>
            <wp:docPr id="2128374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74980" name="Picture 2128374980"/>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3467100"/>
                    </a:xfrm>
                    <a:prstGeom prst="rect">
                      <a:avLst/>
                    </a:prstGeom>
                  </pic:spPr>
                </pic:pic>
              </a:graphicData>
            </a:graphic>
          </wp:inline>
        </w:drawing>
      </w:r>
    </w:p>
    <w:p w14:paraId="1AFA6A29" w14:textId="77777777" w:rsidR="009E1D45" w:rsidRPr="007B176C" w:rsidRDefault="009E1D45" w:rsidP="009E1D45">
      <w:pPr>
        <w:spacing w:after="0" w:line="240" w:lineRule="auto"/>
        <w:rPr>
          <w:rFonts w:ascii="Times New Roman" w:hAnsi="Times New Roman" w:cs="Times New Roman"/>
          <w:b/>
          <w:bCs/>
          <w:sz w:val="22"/>
          <w:szCs w:val="22"/>
        </w:rPr>
      </w:pPr>
      <w:r w:rsidRPr="007B176C">
        <w:rPr>
          <w:rFonts w:ascii="Times New Roman" w:hAnsi="Times New Roman" w:cs="Times New Roman"/>
          <w:i/>
          <w:iCs/>
          <w:sz w:val="20"/>
          <w:szCs w:val="20"/>
        </w:rPr>
        <w:t>Notes: Map of Michigan school districts and Intermediate School Districts (ISDs). The left panel presents all school districts in Michigan in grey lines, and black lines identify ISDs. The inset presents Ingham ISD and the 12 constituent school districts. Ingham ISD levies an earmarked property tax for special education and coordinates special education services across the local school districts.</w:t>
      </w:r>
    </w:p>
    <w:p w14:paraId="13C76EAE" w14:textId="77777777" w:rsidR="009E1D45" w:rsidRDefault="009E1D45" w:rsidP="009E1D45">
      <w:pPr>
        <w:jc w:val="center"/>
        <w:rPr>
          <w:rFonts w:ascii="Times New Roman" w:hAnsi="Times New Roman" w:cs="Times New Roman"/>
          <w:b/>
          <w:bCs/>
        </w:rPr>
      </w:pPr>
    </w:p>
    <w:p w14:paraId="64EDBD22" w14:textId="77777777" w:rsidR="009E1D45" w:rsidRDefault="009E1D45" w:rsidP="009E1D45">
      <w:pPr>
        <w:jc w:val="center"/>
        <w:rPr>
          <w:rFonts w:ascii="Times New Roman" w:hAnsi="Times New Roman" w:cs="Times New Roman"/>
          <w:b/>
          <w:bCs/>
        </w:rPr>
      </w:pPr>
    </w:p>
    <w:p w14:paraId="0F7DBCD6" w14:textId="77777777" w:rsidR="009E1D45" w:rsidRDefault="009E1D45" w:rsidP="009E1D45">
      <w:pPr>
        <w:jc w:val="center"/>
        <w:rPr>
          <w:rFonts w:ascii="Times New Roman" w:hAnsi="Times New Roman" w:cs="Times New Roman"/>
          <w:b/>
          <w:bCs/>
        </w:rPr>
      </w:pPr>
    </w:p>
    <w:p w14:paraId="65C21E67" w14:textId="77777777" w:rsidR="009E1D45" w:rsidRDefault="009E1D45" w:rsidP="009E1D45">
      <w:pPr>
        <w:jc w:val="center"/>
        <w:rPr>
          <w:rFonts w:ascii="Times New Roman" w:hAnsi="Times New Roman" w:cs="Times New Roman"/>
          <w:b/>
          <w:bCs/>
        </w:rPr>
      </w:pPr>
    </w:p>
    <w:p w14:paraId="63154C41" w14:textId="77777777" w:rsidR="009E1D45" w:rsidRDefault="009E1D45" w:rsidP="009E1D45">
      <w:pPr>
        <w:jc w:val="center"/>
        <w:rPr>
          <w:rFonts w:ascii="Times New Roman" w:hAnsi="Times New Roman" w:cs="Times New Roman"/>
          <w:b/>
          <w:bCs/>
        </w:rPr>
      </w:pPr>
    </w:p>
    <w:p w14:paraId="431B3699" w14:textId="77777777" w:rsidR="009E1D45" w:rsidRDefault="009E1D45" w:rsidP="009E1D45">
      <w:pPr>
        <w:jc w:val="center"/>
        <w:rPr>
          <w:rFonts w:ascii="Times New Roman" w:hAnsi="Times New Roman" w:cs="Times New Roman"/>
          <w:b/>
          <w:bCs/>
        </w:rPr>
      </w:pPr>
    </w:p>
    <w:p w14:paraId="060A7562" w14:textId="77777777" w:rsidR="009E1D45" w:rsidRDefault="009E1D45" w:rsidP="009E1D45">
      <w:pPr>
        <w:jc w:val="center"/>
        <w:rPr>
          <w:rFonts w:ascii="Times New Roman" w:hAnsi="Times New Roman" w:cs="Times New Roman"/>
          <w:b/>
          <w:bCs/>
        </w:rPr>
      </w:pPr>
    </w:p>
    <w:p w14:paraId="5A45F65C" w14:textId="77777777" w:rsidR="009E1D45" w:rsidRDefault="009E1D45" w:rsidP="009E1D45">
      <w:pPr>
        <w:jc w:val="center"/>
        <w:rPr>
          <w:rFonts w:ascii="Times New Roman" w:hAnsi="Times New Roman" w:cs="Times New Roman"/>
          <w:b/>
          <w:bCs/>
        </w:rPr>
      </w:pPr>
    </w:p>
    <w:p w14:paraId="49090562" w14:textId="77777777" w:rsidR="009E1D45" w:rsidRDefault="009E1D45" w:rsidP="009E1D45">
      <w:pPr>
        <w:jc w:val="center"/>
        <w:rPr>
          <w:rFonts w:ascii="Times New Roman" w:hAnsi="Times New Roman" w:cs="Times New Roman"/>
          <w:b/>
          <w:bCs/>
        </w:rPr>
      </w:pPr>
    </w:p>
    <w:p w14:paraId="7A2051E5" w14:textId="77777777" w:rsidR="009E1D45" w:rsidRDefault="009E1D45" w:rsidP="009E1D45">
      <w:pPr>
        <w:rPr>
          <w:rFonts w:ascii="Times New Roman" w:hAnsi="Times New Roman" w:cs="Times New Roman"/>
          <w:b/>
          <w:bCs/>
        </w:rPr>
      </w:pPr>
    </w:p>
    <w:p w14:paraId="44F2C177" w14:textId="77777777" w:rsidR="009E1D45" w:rsidRDefault="009E1D45" w:rsidP="009E1D45">
      <w:pPr>
        <w:jc w:val="center"/>
        <w:rPr>
          <w:rFonts w:ascii="Times New Roman" w:hAnsi="Times New Roman" w:cs="Times New Roman"/>
          <w:b/>
          <w:bCs/>
        </w:rPr>
      </w:pPr>
    </w:p>
    <w:p w14:paraId="2FF4D510" w14:textId="77777777" w:rsidR="009E1D45" w:rsidRDefault="009E1D45" w:rsidP="009E1D45">
      <w:pPr>
        <w:jc w:val="center"/>
        <w:rPr>
          <w:rFonts w:ascii="Times New Roman" w:hAnsi="Times New Roman" w:cs="Times New Roman"/>
          <w:b/>
          <w:bCs/>
        </w:rPr>
      </w:pPr>
      <w:r>
        <w:rPr>
          <w:rFonts w:ascii="Times New Roman" w:hAnsi="Times New Roman" w:cs="Times New Roman"/>
          <w:b/>
          <w:bCs/>
        </w:rPr>
        <w:lastRenderedPageBreak/>
        <w:t>Figure 3: Montcalm Area ISD Total Earmarked Special Education Revenues by Source, 2003-04 through 2024-25</w:t>
      </w:r>
      <w:r>
        <w:rPr>
          <w:rFonts w:ascii="Times New Roman" w:hAnsi="Times New Roman" w:cs="Times New Roman"/>
          <w:b/>
          <w:bCs/>
          <w:noProof/>
        </w:rPr>
        <w:drawing>
          <wp:inline distT="0" distB="0" distL="0" distR="0" wp14:anchorId="4715985B" wp14:editId="6B6C9B32">
            <wp:extent cx="5943600" cy="2967355"/>
            <wp:effectExtent l="0" t="0" r="0" b="4445"/>
            <wp:docPr id="4363089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08986" name="Picture 43630898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5E9E90B1" w14:textId="77777777" w:rsidR="009E1D45" w:rsidRPr="007B176C" w:rsidRDefault="009E1D45" w:rsidP="009E1D45">
      <w:pPr>
        <w:spacing w:after="0" w:line="240" w:lineRule="auto"/>
        <w:rPr>
          <w:rFonts w:ascii="Times New Roman" w:hAnsi="Times New Roman" w:cs="Times New Roman"/>
          <w:b/>
          <w:bCs/>
          <w:sz w:val="22"/>
          <w:szCs w:val="22"/>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Total earmarked revenues for special education per pupil by source for Montcalm Area ISD between 2003-04 and 2024-25. Montcalm Area ISD adopted a new property tax for special education in 2014, and the revenue from this tax increase was observed during the 2014-15 academic year. In this year, local revenues for special education increased sharply and remained elevated until the end of the sample period. </w:t>
      </w:r>
      <w:r w:rsidRPr="007B176C">
        <w:rPr>
          <w:rFonts w:ascii="Times New Roman" w:hAnsi="Times New Roman" w:cs="Times New Roman"/>
          <w:i/>
          <w:iCs/>
          <w:sz w:val="20"/>
          <w:szCs w:val="20"/>
        </w:rPr>
        <w:t>All dollar values adjusted to 2025 dollars using the GDP S&amp;L price deflator.</w:t>
      </w:r>
    </w:p>
    <w:p w14:paraId="0421B3E4" w14:textId="77777777" w:rsidR="009E1D45" w:rsidRDefault="009E1D45" w:rsidP="009E1D45">
      <w:pPr>
        <w:jc w:val="center"/>
        <w:rPr>
          <w:rFonts w:ascii="Times New Roman" w:hAnsi="Times New Roman" w:cs="Times New Roman"/>
          <w:b/>
          <w:bCs/>
        </w:rPr>
      </w:pPr>
    </w:p>
    <w:p w14:paraId="1BFEE049" w14:textId="77777777" w:rsidR="009E1D45" w:rsidRDefault="009E1D45" w:rsidP="009E1D45">
      <w:pPr>
        <w:jc w:val="center"/>
        <w:rPr>
          <w:rFonts w:ascii="Times New Roman" w:hAnsi="Times New Roman" w:cs="Times New Roman"/>
          <w:b/>
          <w:bCs/>
        </w:rPr>
      </w:pPr>
    </w:p>
    <w:p w14:paraId="1BEF1BAD" w14:textId="77777777" w:rsidR="009E1D45" w:rsidRDefault="009E1D45" w:rsidP="009E1D45">
      <w:pPr>
        <w:jc w:val="center"/>
        <w:rPr>
          <w:rFonts w:ascii="Times New Roman" w:hAnsi="Times New Roman" w:cs="Times New Roman"/>
          <w:b/>
          <w:bCs/>
        </w:rPr>
      </w:pPr>
    </w:p>
    <w:p w14:paraId="3F057671" w14:textId="77777777" w:rsidR="009E1D45" w:rsidRDefault="009E1D45" w:rsidP="009E1D45">
      <w:pPr>
        <w:jc w:val="center"/>
        <w:rPr>
          <w:rFonts w:ascii="Times New Roman" w:hAnsi="Times New Roman" w:cs="Times New Roman"/>
          <w:b/>
          <w:bCs/>
        </w:rPr>
      </w:pPr>
    </w:p>
    <w:p w14:paraId="4F9DA88A" w14:textId="77777777" w:rsidR="009E1D45" w:rsidRDefault="009E1D45" w:rsidP="009E1D45">
      <w:pPr>
        <w:jc w:val="center"/>
        <w:rPr>
          <w:rFonts w:ascii="Times New Roman" w:hAnsi="Times New Roman" w:cs="Times New Roman"/>
          <w:b/>
          <w:bCs/>
        </w:rPr>
      </w:pPr>
    </w:p>
    <w:p w14:paraId="6E5787A7" w14:textId="77777777" w:rsidR="009E1D45" w:rsidRDefault="009E1D45" w:rsidP="009E1D45">
      <w:pPr>
        <w:jc w:val="center"/>
        <w:rPr>
          <w:rFonts w:ascii="Times New Roman" w:hAnsi="Times New Roman" w:cs="Times New Roman"/>
          <w:b/>
          <w:bCs/>
        </w:rPr>
      </w:pPr>
    </w:p>
    <w:p w14:paraId="2EFC037C" w14:textId="77777777" w:rsidR="009E1D45" w:rsidRDefault="009E1D45" w:rsidP="009E1D45">
      <w:pPr>
        <w:jc w:val="center"/>
        <w:rPr>
          <w:rFonts w:ascii="Times New Roman" w:hAnsi="Times New Roman" w:cs="Times New Roman"/>
          <w:b/>
          <w:bCs/>
        </w:rPr>
      </w:pPr>
    </w:p>
    <w:p w14:paraId="151E8298" w14:textId="77777777" w:rsidR="009E1D45" w:rsidRDefault="009E1D45" w:rsidP="009E1D45">
      <w:pPr>
        <w:jc w:val="center"/>
        <w:rPr>
          <w:rFonts w:ascii="Times New Roman" w:hAnsi="Times New Roman" w:cs="Times New Roman"/>
          <w:b/>
          <w:bCs/>
        </w:rPr>
      </w:pPr>
    </w:p>
    <w:p w14:paraId="4E84ACD4" w14:textId="77777777" w:rsidR="009E1D45" w:rsidRDefault="009E1D45" w:rsidP="009E1D45">
      <w:pPr>
        <w:jc w:val="center"/>
        <w:rPr>
          <w:rFonts w:ascii="Times New Roman" w:hAnsi="Times New Roman" w:cs="Times New Roman"/>
          <w:b/>
          <w:bCs/>
        </w:rPr>
      </w:pPr>
    </w:p>
    <w:p w14:paraId="52E70FEA" w14:textId="77777777" w:rsidR="009E1D45" w:rsidRDefault="009E1D45" w:rsidP="009E1D45">
      <w:pPr>
        <w:rPr>
          <w:rFonts w:ascii="Times New Roman" w:hAnsi="Times New Roman" w:cs="Times New Roman"/>
          <w:b/>
          <w:bCs/>
        </w:rPr>
      </w:pPr>
    </w:p>
    <w:p w14:paraId="055A681E" w14:textId="77777777" w:rsidR="009E1D45" w:rsidRDefault="009E1D45" w:rsidP="009E1D45">
      <w:pPr>
        <w:rPr>
          <w:rFonts w:ascii="Times New Roman" w:hAnsi="Times New Roman" w:cs="Times New Roman"/>
          <w:b/>
          <w:bCs/>
        </w:rPr>
      </w:pPr>
    </w:p>
    <w:p w14:paraId="7858EDC8" w14:textId="77777777" w:rsidR="009E1D45" w:rsidRDefault="009E1D45" w:rsidP="009E1D45">
      <w:pPr>
        <w:rPr>
          <w:rFonts w:ascii="Times New Roman" w:hAnsi="Times New Roman" w:cs="Times New Roman"/>
          <w:b/>
          <w:bCs/>
        </w:rPr>
      </w:pPr>
    </w:p>
    <w:p w14:paraId="06A71C47" w14:textId="77777777" w:rsidR="009E1D45" w:rsidRDefault="009E1D45" w:rsidP="009E1D45">
      <w:pPr>
        <w:jc w:val="center"/>
        <w:rPr>
          <w:rFonts w:ascii="Times New Roman" w:hAnsi="Times New Roman" w:cs="Times New Roman"/>
          <w:b/>
          <w:bCs/>
        </w:rPr>
      </w:pPr>
    </w:p>
    <w:p w14:paraId="53F4849E" w14:textId="77777777" w:rsidR="009E1D45" w:rsidRDefault="009E1D45" w:rsidP="009E1D45">
      <w:pPr>
        <w:jc w:val="center"/>
        <w:rPr>
          <w:rFonts w:ascii="Times New Roman" w:hAnsi="Times New Roman" w:cs="Times New Roman"/>
          <w:b/>
          <w:bCs/>
        </w:rPr>
      </w:pPr>
      <w:r>
        <w:rPr>
          <w:rFonts w:ascii="Times New Roman" w:hAnsi="Times New Roman" w:cs="Times New Roman"/>
          <w:b/>
          <w:bCs/>
        </w:rPr>
        <w:lastRenderedPageBreak/>
        <w:t>Figure 4: ISD Responses to Increases in Earmarked Special Education Revenues</w:t>
      </w:r>
    </w:p>
    <w:p w14:paraId="66907D69" w14:textId="77777777" w:rsidR="009E1D45" w:rsidRDefault="009E1D45" w:rsidP="009E1D45">
      <w:pPr>
        <w:jc w:val="center"/>
        <w:rPr>
          <w:rFonts w:ascii="Times New Roman" w:hAnsi="Times New Roman" w:cs="Times New Roman"/>
          <w:b/>
          <w:bCs/>
        </w:rPr>
      </w:pPr>
      <w:r>
        <w:rPr>
          <w:rFonts w:ascii="Times New Roman" w:hAnsi="Times New Roman" w:cs="Times New Roman"/>
          <w:b/>
          <w:bCs/>
          <w:noProof/>
        </w:rPr>
        <w:drawing>
          <wp:inline distT="0" distB="0" distL="0" distR="0" wp14:anchorId="0C3D2367" wp14:editId="2083D327">
            <wp:extent cx="5626100" cy="5334000"/>
            <wp:effectExtent l="0" t="0" r="0" b="0"/>
            <wp:docPr id="386370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70195" name="Picture 386370195"/>
                    <pic:cNvPicPr/>
                  </pic:nvPicPr>
                  <pic:blipFill>
                    <a:blip r:embed="rId51">
                      <a:extLst>
                        <a:ext uri="{28A0092B-C50C-407E-A947-70E740481C1C}">
                          <a14:useLocalDpi xmlns:a14="http://schemas.microsoft.com/office/drawing/2010/main" val="0"/>
                        </a:ext>
                      </a:extLst>
                    </a:blip>
                    <a:stretch>
                      <a:fillRect/>
                    </a:stretch>
                  </pic:blipFill>
                  <pic:spPr>
                    <a:xfrm>
                      <a:off x="0" y="0"/>
                      <a:ext cx="5626100" cy="5334000"/>
                    </a:xfrm>
                    <a:prstGeom prst="rect">
                      <a:avLst/>
                    </a:prstGeom>
                  </pic:spPr>
                </pic:pic>
              </a:graphicData>
            </a:graphic>
          </wp:inline>
        </w:drawing>
      </w:r>
    </w:p>
    <w:p w14:paraId="50280115" w14:textId="77777777" w:rsidR="009E1D45" w:rsidRPr="007B176C" w:rsidRDefault="009E1D45" w:rsidP="009E1D45">
      <w:pPr>
        <w:spacing w:after="0" w:line="240" w:lineRule="auto"/>
        <w:rPr>
          <w:rFonts w:ascii="Times New Roman" w:hAnsi="Times New Roman" w:cs="Times New Roman"/>
          <w:b/>
          <w:bCs/>
          <w:sz w:val="22"/>
          <w:szCs w:val="22"/>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Figure illustrates the Intermediate School District’s budget constraint before and after the special education property tax change. Prior to the change, the ISD’s budget constraint follows the black line. The ISD cannot use any earmarked revenues for non-special education purposes, and so their budget constraint is flat below the minimum of the restricted special education revenue. After the property tax change, the ISD moves to the blue budget constraint with greater restricted revenues for special education.</w:t>
      </w:r>
    </w:p>
    <w:p w14:paraId="29BE5799" w14:textId="77777777" w:rsidR="009E1D45" w:rsidRDefault="009E1D45" w:rsidP="009E1D45">
      <w:pPr>
        <w:rPr>
          <w:rFonts w:ascii="Times New Roman" w:hAnsi="Times New Roman" w:cs="Times New Roman"/>
          <w:b/>
          <w:bCs/>
        </w:rPr>
      </w:pPr>
    </w:p>
    <w:p w14:paraId="063361AD" w14:textId="77777777" w:rsidR="009E1D45" w:rsidRDefault="009E1D45" w:rsidP="009E1D45">
      <w:pPr>
        <w:rPr>
          <w:rFonts w:ascii="Times New Roman" w:hAnsi="Times New Roman" w:cs="Times New Roman"/>
          <w:b/>
          <w:bCs/>
        </w:rPr>
      </w:pPr>
    </w:p>
    <w:p w14:paraId="7C36DC32" w14:textId="77777777" w:rsidR="009E1D45" w:rsidRDefault="009E1D45" w:rsidP="009E1D45">
      <w:pPr>
        <w:rPr>
          <w:rFonts w:ascii="Times New Roman" w:hAnsi="Times New Roman" w:cs="Times New Roman"/>
          <w:b/>
          <w:bCs/>
        </w:rPr>
      </w:pPr>
    </w:p>
    <w:p w14:paraId="5FAA6CC3" w14:textId="77777777" w:rsidR="009E1D45" w:rsidRDefault="009E1D45" w:rsidP="009E1D45">
      <w:pPr>
        <w:rPr>
          <w:rFonts w:ascii="Times New Roman" w:hAnsi="Times New Roman" w:cs="Times New Roman"/>
          <w:b/>
          <w:bCs/>
        </w:rPr>
      </w:pPr>
    </w:p>
    <w:p w14:paraId="281B65C2" w14:textId="77777777" w:rsidR="009E1D45" w:rsidRDefault="009E1D45" w:rsidP="009E1D45">
      <w:pPr>
        <w:rPr>
          <w:rFonts w:ascii="Times New Roman" w:hAnsi="Times New Roman" w:cs="Times New Roman"/>
          <w:b/>
          <w:bCs/>
        </w:rPr>
      </w:pPr>
    </w:p>
    <w:p w14:paraId="3E1B930D" w14:textId="77777777" w:rsidR="009E1D45" w:rsidRPr="00667704" w:rsidRDefault="009E1D45" w:rsidP="009E1D45">
      <w:pPr>
        <w:spacing w:after="0" w:line="240" w:lineRule="auto"/>
        <w:jc w:val="center"/>
        <w:rPr>
          <w:rFonts w:ascii="Times New Roman" w:hAnsi="Times New Roman" w:cs="Times New Roman"/>
          <w:b/>
          <w:bCs/>
        </w:rPr>
      </w:pPr>
      <w:r w:rsidRPr="00667704">
        <w:rPr>
          <w:rFonts w:ascii="Times New Roman" w:hAnsi="Times New Roman" w:cs="Times New Roman"/>
          <w:b/>
          <w:bCs/>
        </w:rPr>
        <w:lastRenderedPageBreak/>
        <w:t>Table 1: Summary of</w:t>
      </w:r>
      <w:r>
        <w:rPr>
          <w:rFonts w:ascii="Times New Roman" w:hAnsi="Times New Roman" w:cs="Times New Roman"/>
          <w:b/>
          <w:bCs/>
        </w:rPr>
        <w:t xml:space="preserve"> ISD-Level</w:t>
      </w:r>
      <w:r w:rsidRPr="00667704">
        <w:rPr>
          <w:rFonts w:ascii="Times New Roman" w:hAnsi="Times New Roman" w:cs="Times New Roman"/>
          <w:b/>
          <w:bCs/>
        </w:rPr>
        <w:t xml:space="preserve"> Financial and Student Demographic Data, </w:t>
      </w:r>
      <w:r>
        <w:rPr>
          <w:rFonts w:ascii="Times New Roman" w:hAnsi="Times New Roman" w:cs="Times New Roman"/>
          <w:b/>
          <w:bCs/>
        </w:rPr>
        <w:t xml:space="preserve">2003-04 through </w:t>
      </w:r>
      <w:r w:rsidRPr="00667704">
        <w:rPr>
          <w:rFonts w:ascii="Times New Roman" w:hAnsi="Times New Roman" w:cs="Times New Roman"/>
          <w:b/>
          <w:bCs/>
        </w:rPr>
        <w:t>202</w:t>
      </w:r>
      <w:r>
        <w:rPr>
          <w:rFonts w:ascii="Times New Roman" w:hAnsi="Times New Roman" w:cs="Times New Roman"/>
          <w:b/>
          <w:bCs/>
        </w:rPr>
        <w:t>4</w:t>
      </w:r>
      <w:r w:rsidRPr="00667704">
        <w:rPr>
          <w:rFonts w:ascii="Times New Roman" w:hAnsi="Times New Roman" w:cs="Times New Roman"/>
          <w:b/>
          <w:bCs/>
        </w:rPr>
        <w:t>-2</w:t>
      </w:r>
      <w:r>
        <w:rPr>
          <w:rFonts w:ascii="Times New Roman" w:hAnsi="Times New Roman" w:cs="Times New Roman"/>
          <w:b/>
          <w:bCs/>
        </w:rPr>
        <w:t>5</w:t>
      </w:r>
      <w:r w:rsidRPr="00667704">
        <w:rPr>
          <w:rFonts w:ascii="Times New Roman" w:hAnsi="Times New Roman" w:cs="Times New Roman"/>
          <w:b/>
          <w:bCs/>
        </w:rPr>
        <w:t xml:space="preserve"> Academic Year</w:t>
      </w:r>
      <w:r>
        <w:rPr>
          <w:rFonts w:ascii="Times New Roman" w:hAnsi="Times New Roman" w:cs="Times New Roman"/>
          <w:b/>
          <w:bCs/>
        </w:rPr>
        <w:t>s</w:t>
      </w:r>
    </w:p>
    <w:tbl>
      <w:tblPr>
        <w:tblW w:w="8370" w:type="dxa"/>
        <w:jc w:val="center"/>
        <w:tblLook w:val="04A0" w:firstRow="1" w:lastRow="0" w:firstColumn="1" w:lastColumn="0" w:noHBand="0" w:noVBand="1"/>
      </w:tblPr>
      <w:tblGrid>
        <w:gridCol w:w="5110"/>
        <w:gridCol w:w="1640"/>
        <w:gridCol w:w="1620"/>
      </w:tblGrid>
      <w:tr w:rsidR="009E1D45" w:rsidRPr="00667704" w14:paraId="4FB81359" w14:textId="77777777" w:rsidTr="001019DE">
        <w:trPr>
          <w:trHeight w:val="300"/>
          <w:jc w:val="center"/>
        </w:trPr>
        <w:tc>
          <w:tcPr>
            <w:tcW w:w="5110" w:type="dxa"/>
            <w:tcBorders>
              <w:top w:val="single" w:sz="4" w:space="0" w:color="auto"/>
              <w:left w:val="nil"/>
              <w:bottom w:val="single" w:sz="4" w:space="0" w:color="auto"/>
              <w:right w:val="nil"/>
            </w:tcBorders>
            <w:noWrap/>
            <w:vAlign w:val="bottom"/>
            <w:hideMark/>
          </w:tcPr>
          <w:p w14:paraId="42E52FD1" w14:textId="77777777" w:rsidR="009E1D45" w:rsidRPr="00667704"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single" w:sz="4" w:space="0" w:color="auto"/>
              <w:left w:val="nil"/>
              <w:bottom w:val="single" w:sz="4" w:space="0" w:color="auto"/>
              <w:right w:val="nil"/>
            </w:tcBorders>
            <w:noWrap/>
            <w:vAlign w:val="center"/>
            <w:hideMark/>
          </w:tcPr>
          <w:p w14:paraId="6D683373" w14:textId="77777777" w:rsidR="009E1D45" w:rsidRPr="00667704" w:rsidRDefault="009E1D45" w:rsidP="001019DE">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Control ISDs</w:t>
            </w:r>
          </w:p>
        </w:tc>
        <w:tc>
          <w:tcPr>
            <w:tcW w:w="1620" w:type="dxa"/>
            <w:tcBorders>
              <w:top w:val="single" w:sz="4" w:space="0" w:color="auto"/>
              <w:left w:val="nil"/>
              <w:bottom w:val="single" w:sz="4" w:space="0" w:color="auto"/>
              <w:right w:val="nil"/>
            </w:tcBorders>
            <w:vAlign w:val="center"/>
          </w:tcPr>
          <w:p w14:paraId="518AAA67" w14:textId="77777777" w:rsidR="009E1D45" w:rsidRPr="00667704" w:rsidRDefault="009E1D45" w:rsidP="001019DE">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Treated ISDs</w:t>
            </w:r>
          </w:p>
        </w:tc>
      </w:tr>
      <w:tr w:rsidR="009E1D45" w:rsidRPr="00667704" w14:paraId="4737E96F" w14:textId="77777777" w:rsidTr="001019DE">
        <w:trPr>
          <w:trHeight w:val="300"/>
          <w:jc w:val="center"/>
        </w:trPr>
        <w:tc>
          <w:tcPr>
            <w:tcW w:w="5110" w:type="dxa"/>
            <w:tcBorders>
              <w:top w:val="single" w:sz="4" w:space="0" w:color="auto"/>
              <w:left w:val="nil"/>
              <w:right w:val="nil"/>
            </w:tcBorders>
            <w:noWrap/>
            <w:vAlign w:val="bottom"/>
          </w:tcPr>
          <w:p w14:paraId="63CB26AE" w14:textId="77777777" w:rsidR="009E1D45" w:rsidRPr="00DA38EA" w:rsidRDefault="009E1D45" w:rsidP="001019DE">
            <w:pPr>
              <w:spacing w:after="0" w:line="240" w:lineRule="auto"/>
              <w:rPr>
                <w:rFonts w:ascii="Times New Roman" w:hAnsi="Times New Roman" w:cs="Times New Roman"/>
                <w:i/>
                <w:iCs/>
              </w:rPr>
            </w:pPr>
            <w:r>
              <w:rPr>
                <w:rFonts w:ascii="Times New Roman" w:hAnsi="Times New Roman" w:cs="Times New Roman"/>
                <w:i/>
                <w:iCs/>
              </w:rPr>
              <w:t>Revenues</w:t>
            </w:r>
          </w:p>
        </w:tc>
        <w:tc>
          <w:tcPr>
            <w:tcW w:w="1640" w:type="dxa"/>
            <w:tcBorders>
              <w:top w:val="single" w:sz="4" w:space="0" w:color="auto"/>
              <w:left w:val="nil"/>
              <w:right w:val="nil"/>
            </w:tcBorders>
            <w:noWrap/>
            <w:vAlign w:val="bottom"/>
          </w:tcPr>
          <w:p w14:paraId="0397C9E4" w14:textId="77777777" w:rsidR="009E1D45" w:rsidRPr="007C1980" w:rsidRDefault="009E1D45" w:rsidP="001019DE">
            <w:pPr>
              <w:spacing w:after="0" w:line="240" w:lineRule="auto"/>
              <w:jc w:val="center"/>
              <w:rPr>
                <w:rFonts w:ascii="Times New Roman" w:hAnsi="Times New Roman" w:cs="Times New Roman"/>
              </w:rPr>
            </w:pPr>
          </w:p>
        </w:tc>
        <w:tc>
          <w:tcPr>
            <w:tcW w:w="1620" w:type="dxa"/>
            <w:tcBorders>
              <w:top w:val="single" w:sz="4" w:space="0" w:color="auto"/>
              <w:left w:val="nil"/>
              <w:right w:val="nil"/>
            </w:tcBorders>
            <w:vAlign w:val="bottom"/>
          </w:tcPr>
          <w:p w14:paraId="7128D9C9" w14:textId="77777777" w:rsidR="009E1D45" w:rsidRPr="007C1980" w:rsidRDefault="009E1D45" w:rsidP="001019DE">
            <w:pPr>
              <w:spacing w:after="0" w:line="240" w:lineRule="auto"/>
              <w:jc w:val="center"/>
              <w:rPr>
                <w:rFonts w:ascii="Times New Roman" w:hAnsi="Times New Roman" w:cs="Times New Roman"/>
              </w:rPr>
            </w:pPr>
          </w:p>
        </w:tc>
      </w:tr>
      <w:tr w:rsidR="009E1D45" w:rsidRPr="00667704" w14:paraId="0CB8CB4E" w14:textId="77777777" w:rsidTr="001019DE">
        <w:trPr>
          <w:trHeight w:val="300"/>
          <w:jc w:val="center"/>
        </w:trPr>
        <w:tc>
          <w:tcPr>
            <w:tcW w:w="5110" w:type="dxa"/>
            <w:tcBorders>
              <w:left w:val="nil"/>
              <w:right w:val="nil"/>
            </w:tcBorders>
            <w:noWrap/>
            <w:vAlign w:val="bottom"/>
          </w:tcPr>
          <w:p w14:paraId="47031314"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Total Rev</w:t>
            </w:r>
            <w:r>
              <w:rPr>
                <w:rFonts w:ascii="Times New Roman" w:hAnsi="Times New Roman" w:cs="Times New Roman"/>
              </w:rPr>
              <w:t xml:space="preserve">enue </w:t>
            </w:r>
            <w:r w:rsidRPr="007C1980">
              <w:rPr>
                <w:rFonts w:ascii="Times New Roman" w:hAnsi="Times New Roman" w:cs="Times New Roman"/>
              </w:rPr>
              <w:t>Per-Pupil</w:t>
            </w:r>
          </w:p>
        </w:tc>
        <w:tc>
          <w:tcPr>
            <w:tcW w:w="1640" w:type="dxa"/>
            <w:tcBorders>
              <w:left w:val="nil"/>
              <w:right w:val="nil"/>
            </w:tcBorders>
            <w:noWrap/>
            <w:vAlign w:val="bottom"/>
          </w:tcPr>
          <w:p w14:paraId="5BFFB23E"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$3,182.51</w:t>
            </w:r>
          </w:p>
        </w:tc>
        <w:tc>
          <w:tcPr>
            <w:tcW w:w="1620" w:type="dxa"/>
            <w:tcBorders>
              <w:left w:val="nil"/>
              <w:right w:val="nil"/>
            </w:tcBorders>
            <w:vAlign w:val="bottom"/>
          </w:tcPr>
          <w:p w14:paraId="7B65D567"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$3,159.87</w:t>
            </w:r>
          </w:p>
        </w:tc>
      </w:tr>
      <w:tr w:rsidR="009E1D45" w:rsidRPr="00667704" w14:paraId="53EADE62" w14:textId="77777777" w:rsidTr="001019DE">
        <w:trPr>
          <w:trHeight w:val="300"/>
          <w:jc w:val="center"/>
        </w:trPr>
        <w:tc>
          <w:tcPr>
            <w:tcW w:w="5110" w:type="dxa"/>
            <w:tcBorders>
              <w:left w:val="nil"/>
              <w:right w:val="nil"/>
            </w:tcBorders>
            <w:noWrap/>
            <w:vAlign w:val="bottom"/>
          </w:tcPr>
          <w:p w14:paraId="285C1E9E"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left w:val="nil"/>
              <w:right w:val="nil"/>
            </w:tcBorders>
            <w:noWrap/>
            <w:vAlign w:val="bottom"/>
          </w:tcPr>
          <w:p w14:paraId="710F5E79"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($1,055.73)</w:t>
            </w:r>
          </w:p>
        </w:tc>
        <w:tc>
          <w:tcPr>
            <w:tcW w:w="1620" w:type="dxa"/>
            <w:tcBorders>
              <w:left w:val="nil"/>
              <w:right w:val="nil"/>
            </w:tcBorders>
            <w:vAlign w:val="bottom"/>
          </w:tcPr>
          <w:p w14:paraId="75A8484E"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($1,236.08)</w:t>
            </w:r>
          </w:p>
        </w:tc>
      </w:tr>
      <w:tr w:rsidR="009E1D45" w:rsidRPr="00667704" w14:paraId="6EBC8C6B" w14:textId="77777777" w:rsidTr="001019DE">
        <w:trPr>
          <w:trHeight w:val="300"/>
          <w:jc w:val="center"/>
        </w:trPr>
        <w:tc>
          <w:tcPr>
            <w:tcW w:w="5110" w:type="dxa"/>
            <w:tcBorders>
              <w:left w:val="nil"/>
              <w:bottom w:val="nil"/>
              <w:right w:val="nil"/>
            </w:tcBorders>
            <w:noWrap/>
            <w:vAlign w:val="bottom"/>
            <w:hideMark/>
          </w:tcPr>
          <w:p w14:paraId="74622DCA"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Total Special Education Rev. Per-Pupil</w:t>
            </w:r>
          </w:p>
        </w:tc>
        <w:tc>
          <w:tcPr>
            <w:tcW w:w="1640" w:type="dxa"/>
            <w:tcBorders>
              <w:left w:val="nil"/>
              <w:bottom w:val="nil"/>
              <w:right w:val="nil"/>
            </w:tcBorders>
            <w:noWrap/>
            <w:vAlign w:val="bottom"/>
            <w:hideMark/>
          </w:tcPr>
          <w:p w14:paraId="75839691"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$1,815.86</w:t>
            </w:r>
          </w:p>
        </w:tc>
        <w:tc>
          <w:tcPr>
            <w:tcW w:w="1620" w:type="dxa"/>
            <w:tcBorders>
              <w:left w:val="nil"/>
              <w:bottom w:val="nil"/>
              <w:right w:val="nil"/>
            </w:tcBorders>
            <w:vAlign w:val="bottom"/>
          </w:tcPr>
          <w:p w14:paraId="54342000"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$1,964.36</w:t>
            </w:r>
          </w:p>
        </w:tc>
      </w:tr>
      <w:tr w:rsidR="009E1D45" w:rsidRPr="00667704" w14:paraId="1769EBBD" w14:textId="77777777" w:rsidTr="001019DE">
        <w:trPr>
          <w:trHeight w:val="300"/>
          <w:jc w:val="center"/>
        </w:trPr>
        <w:tc>
          <w:tcPr>
            <w:tcW w:w="5110" w:type="dxa"/>
            <w:tcBorders>
              <w:top w:val="nil"/>
              <w:left w:val="nil"/>
              <w:bottom w:val="nil"/>
              <w:right w:val="nil"/>
            </w:tcBorders>
            <w:noWrap/>
            <w:vAlign w:val="bottom"/>
            <w:hideMark/>
          </w:tcPr>
          <w:p w14:paraId="5263DEB4"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5C638691"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($620.06)</w:t>
            </w:r>
          </w:p>
        </w:tc>
        <w:tc>
          <w:tcPr>
            <w:tcW w:w="1620" w:type="dxa"/>
            <w:tcBorders>
              <w:top w:val="nil"/>
              <w:left w:val="nil"/>
              <w:bottom w:val="nil"/>
              <w:right w:val="nil"/>
            </w:tcBorders>
            <w:vAlign w:val="bottom"/>
          </w:tcPr>
          <w:p w14:paraId="712E4715"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($502.61)</w:t>
            </w:r>
          </w:p>
        </w:tc>
      </w:tr>
      <w:tr w:rsidR="009E1D45" w:rsidRPr="00667704" w14:paraId="1B6ABAC8" w14:textId="77777777" w:rsidTr="001019DE">
        <w:trPr>
          <w:trHeight w:val="300"/>
          <w:jc w:val="center"/>
        </w:trPr>
        <w:tc>
          <w:tcPr>
            <w:tcW w:w="5110" w:type="dxa"/>
            <w:tcBorders>
              <w:top w:val="nil"/>
              <w:left w:val="nil"/>
              <w:right w:val="nil"/>
            </w:tcBorders>
            <w:noWrap/>
            <w:vAlign w:val="bottom"/>
            <w:hideMark/>
          </w:tcPr>
          <w:p w14:paraId="558575EB"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Local Special Education Rev. Per-Pupil</w:t>
            </w:r>
          </w:p>
        </w:tc>
        <w:tc>
          <w:tcPr>
            <w:tcW w:w="1640" w:type="dxa"/>
            <w:tcBorders>
              <w:top w:val="nil"/>
              <w:left w:val="nil"/>
              <w:right w:val="nil"/>
            </w:tcBorders>
            <w:noWrap/>
            <w:vAlign w:val="bottom"/>
            <w:hideMark/>
          </w:tcPr>
          <w:p w14:paraId="7C09A46A"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$764.36</w:t>
            </w:r>
          </w:p>
        </w:tc>
        <w:tc>
          <w:tcPr>
            <w:tcW w:w="1620" w:type="dxa"/>
            <w:tcBorders>
              <w:top w:val="nil"/>
              <w:left w:val="nil"/>
              <w:right w:val="nil"/>
            </w:tcBorders>
            <w:vAlign w:val="bottom"/>
          </w:tcPr>
          <w:p w14:paraId="18F573DE"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$918.06</w:t>
            </w:r>
          </w:p>
        </w:tc>
      </w:tr>
      <w:tr w:rsidR="009E1D45" w:rsidRPr="00667704" w14:paraId="68EF6C6B" w14:textId="77777777" w:rsidTr="001019DE">
        <w:trPr>
          <w:trHeight w:val="300"/>
          <w:jc w:val="center"/>
        </w:trPr>
        <w:tc>
          <w:tcPr>
            <w:tcW w:w="5110" w:type="dxa"/>
            <w:tcBorders>
              <w:top w:val="nil"/>
              <w:left w:val="nil"/>
              <w:bottom w:val="single" w:sz="4" w:space="0" w:color="auto"/>
              <w:right w:val="nil"/>
            </w:tcBorders>
            <w:noWrap/>
            <w:vAlign w:val="bottom"/>
            <w:hideMark/>
          </w:tcPr>
          <w:p w14:paraId="688C47CC"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single" w:sz="4" w:space="0" w:color="auto"/>
              <w:right w:val="nil"/>
            </w:tcBorders>
            <w:noWrap/>
            <w:vAlign w:val="bottom"/>
            <w:hideMark/>
          </w:tcPr>
          <w:p w14:paraId="68AB3F57"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($302.24)</w:t>
            </w:r>
          </w:p>
        </w:tc>
        <w:tc>
          <w:tcPr>
            <w:tcW w:w="1620" w:type="dxa"/>
            <w:tcBorders>
              <w:top w:val="nil"/>
              <w:left w:val="nil"/>
              <w:bottom w:val="single" w:sz="4" w:space="0" w:color="auto"/>
              <w:right w:val="nil"/>
            </w:tcBorders>
            <w:vAlign w:val="bottom"/>
          </w:tcPr>
          <w:p w14:paraId="0CA9CB78"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($335.16)</w:t>
            </w:r>
          </w:p>
        </w:tc>
      </w:tr>
      <w:tr w:rsidR="009E1D45" w:rsidRPr="00667704" w14:paraId="0A83E747" w14:textId="77777777" w:rsidTr="001019DE">
        <w:trPr>
          <w:trHeight w:val="300"/>
          <w:jc w:val="center"/>
        </w:trPr>
        <w:tc>
          <w:tcPr>
            <w:tcW w:w="5110" w:type="dxa"/>
            <w:tcBorders>
              <w:top w:val="single" w:sz="4" w:space="0" w:color="auto"/>
              <w:left w:val="nil"/>
              <w:right w:val="nil"/>
            </w:tcBorders>
            <w:noWrap/>
            <w:vAlign w:val="bottom"/>
          </w:tcPr>
          <w:p w14:paraId="441F3D0E" w14:textId="77777777" w:rsidR="009E1D45" w:rsidRPr="00DA38EA" w:rsidRDefault="009E1D45" w:rsidP="001019DE">
            <w:pPr>
              <w:spacing w:after="0" w:line="240" w:lineRule="auto"/>
              <w:rPr>
                <w:rFonts w:ascii="Times New Roman" w:hAnsi="Times New Roman" w:cs="Times New Roman"/>
                <w:i/>
                <w:iCs/>
              </w:rPr>
            </w:pPr>
            <w:r>
              <w:rPr>
                <w:rFonts w:ascii="Times New Roman" w:hAnsi="Times New Roman" w:cs="Times New Roman"/>
                <w:i/>
                <w:iCs/>
              </w:rPr>
              <w:t>Expenditures</w:t>
            </w:r>
          </w:p>
        </w:tc>
        <w:tc>
          <w:tcPr>
            <w:tcW w:w="1640" w:type="dxa"/>
            <w:tcBorders>
              <w:top w:val="single" w:sz="4" w:space="0" w:color="auto"/>
              <w:left w:val="nil"/>
              <w:right w:val="nil"/>
            </w:tcBorders>
            <w:noWrap/>
            <w:vAlign w:val="bottom"/>
          </w:tcPr>
          <w:p w14:paraId="7D762969" w14:textId="77777777" w:rsidR="009E1D45" w:rsidRPr="007C1980" w:rsidRDefault="009E1D45" w:rsidP="001019DE">
            <w:pPr>
              <w:spacing w:after="0" w:line="240" w:lineRule="auto"/>
              <w:jc w:val="center"/>
              <w:rPr>
                <w:rFonts w:ascii="Times New Roman" w:hAnsi="Times New Roman" w:cs="Times New Roman"/>
              </w:rPr>
            </w:pPr>
          </w:p>
        </w:tc>
        <w:tc>
          <w:tcPr>
            <w:tcW w:w="1620" w:type="dxa"/>
            <w:tcBorders>
              <w:top w:val="single" w:sz="4" w:space="0" w:color="auto"/>
              <w:left w:val="nil"/>
              <w:right w:val="nil"/>
            </w:tcBorders>
            <w:vAlign w:val="bottom"/>
          </w:tcPr>
          <w:p w14:paraId="391F8D7E" w14:textId="77777777" w:rsidR="009E1D45" w:rsidRPr="007C1980" w:rsidRDefault="009E1D45" w:rsidP="001019DE">
            <w:pPr>
              <w:spacing w:after="0" w:line="240" w:lineRule="auto"/>
              <w:jc w:val="center"/>
              <w:rPr>
                <w:rFonts w:ascii="Times New Roman" w:hAnsi="Times New Roman" w:cs="Times New Roman"/>
              </w:rPr>
            </w:pPr>
          </w:p>
        </w:tc>
      </w:tr>
      <w:tr w:rsidR="009E1D45" w:rsidRPr="00667704" w14:paraId="4BC479A8" w14:textId="77777777" w:rsidTr="001019DE">
        <w:trPr>
          <w:trHeight w:val="300"/>
          <w:jc w:val="center"/>
        </w:trPr>
        <w:tc>
          <w:tcPr>
            <w:tcW w:w="5110" w:type="dxa"/>
            <w:tcBorders>
              <w:left w:val="nil"/>
              <w:bottom w:val="nil"/>
              <w:right w:val="nil"/>
            </w:tcBorders>
            <w:noWrap/>
            <w:vAlign w:val="bottom"/>
            <w:hideMark/>
          </w:tcPr>
          <w:p w14:paraId="014C53BB"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Special Education Exp. Per-Pupil</w:t>
            </w:r>
          </w:p>
        </w:tc>
        <w:tc>
          <w:tcPr>
            <w:tcW w:w="1640" w:type="dxa"/>
            <w:tcBorders>
              <w:left w:val="nil"/>
              <w:bottom w:val="nil"/>
              <w:right w:val="nil"/>
            </w:tcBorders>
            <w:noWrap/>
            <w:vAlign w:val="bottom"/>
            <w:hideMark/>
          </w:tcPr>
          <w:p w14:paraId="6834E49A"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$1,415.86</w:t>
            </w:r>
          </w:p>
        </w:tc>
        <w:tc>
          <w:tcPr>
            <w:tcW w:w="1620" w:type="dxa"/>
            <w:tcBorders>
              <w:left w:val="nil"/>
              <w:bottom w:val="nil"/>
              <w:right w:val="nil"/>
            </w:tcBorders>
            <w:vAlign w:val="bottom"/>
          </w:tcPr>
          <w:p w14:paraId="5032E693"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$1,437.32</w:t>
            </w:r>
          </w:p>
        </w:tc>
      </w:tr>
      <w:tr w:rsidR="009E1D45" w:rsidRPr="00667704" w14:paraId="748A02AD" w14:textId="77777777" w:rsidTr="001019DE">
        <w:trPr>
          <w:trHeight w:val="300"/>
          <w:jc w:val="center"/>
        </w:trPr>
        <w:tc>
          <w:tcPr>
            <w:tcW w:w="5110" w:type="dxa"/>
            <w:tcBorders>
              <w:top w:val="nil"/>
              <w:left w:val="nil"/>
              <w:bottom w:val="nil"/>
              <w:right w:val="nil"/>
            </w:tcBorders>
            <w:noWrap/>
            <w:vAlign w:val="bottom"/>
            <w:hideMark/>
          </w:tcPr>
          <w:p w14:paraId="4B7BFD38"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6EAE295A"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($617.15)</w:t>
            </w:r>
          </w:p>
        </w:tc>
        <w:tc>
          <w:tcPr>
            <w:tcW w:w="1620" w:type="dxa"/>
            <w:tcBorders>
              <w:top w:val="nil"/>
              <w:left w:val="nil"/>
              <w:bottom w:val="nil"/>
              <w:right w:val="nil"/>
            </w:tcBorders>
            <w:vAlign w:val="bottom"/>
          </w:tcPr>
          <w:p w14:paraId="2A7563FF"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($482.82)</w:t>
            </w:r>
          </w:p>
        </w:tc>
      </w:tr>
      <w:tr w:rsidR="009E1D45" w:rsidRPr="00667704" w14:paraId="4213878E" w14:textId="77777777" w:rsidTr="001019DE">
        <w:trPr>
          <w:trHeight w:val="300"/>
          <w:jc w:val="center"/>
        </w:trPr>
        <w:tc>
          <w:tcPr>
            <w:tcW w:w="5110" w:type="dxa"/>
            <w:tcBorders>
              <w:top w:val="nil"/>
              <w:left w:val="nil"/>
              <w:bottom w:val="nil"/>
              <w:right w:val="nil"/>
            </w:tcBorders>
            <w:noWrap/>
            <w:vAlign w:val="bottom"/>
            <w:hideMark/>
          </w:tcPr>
          <w:p w14:paraId="6D95AD44"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Pr>
                <w:rFonts w:ascii="Times New Roman" w:hAnsi="Times New Roman" w:cs="Times New Roman"/>
              </w:rPr>
              <w:t xml:space="preserve">Special Education Per Pupil </w:t>
            </w:r>
            <w:r w:rsidRPr="007C1980">
              <w:rPr>
                <w:rFonts w:ascii="Times New Roman" w:hAnsi="Times New Roman" w:cs="Times New Roman"/>
              </w:rPr>
              <w:t>Transfers to Districts</w:t>
            </w:r>
          </w:p>
        </w:tc>
        <w:tc>
          <w:tcPr>
            <w:tcW w:w="1640" w:type="dxa"/>
            <w:tcBorders>
              <w:top w:val="nil"/>
              <w:left w:val="nil"/>
              <w:bottom w:val="nil"/>
              <w:right w:val="nil"/>
            </w:tcBorders>
            <w:noWrap/>
            <w:vAlign w:val="bottom"/>
            <w:hideMark/>
          </w:tcPr>
          <w:p w14:paraId="222504AA"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$299.30</w:t>
            </w:r>
          </w:p>
        </w:tc>
        <w:tc>
          <w:tcPr>
            <w:tcW w:w="1620" w:type="dxa"/>
            <w:tcBorders>
              <w:top w:val="nil"/>
              <w:left w:val="nil"/>
              <w:bottom w:val="nil"/>
              <w:right w:val="nil"/>
            </w:tcBorders>
            <w:vAlign w:val="bottom"/>
          </w:tcPr>
          <w:p w14:paraId="0130A416"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$449.15</w:t>
            </w:r>
          </w:p>
        </w:tc>
      </w:tr>
      <w:tr w:rsidR="009E1D45" w:rsidRPr="00667704" w14:paraId="27D49843" w14:textId="77777777" w:rsidTr="001019DE">
        <w:trPr>
          <w:trHeight w:val="300"/>
          <w:jc w:val="center"/>
        </w:trPr>
        <w:tc>
          <w:tcPr>
            <w:tcW w:w="5110" w:type="dxa"/>
            <w:tcBorders>
              <w:top w:val="nil"/>
              <w:left w:val="nil"/>
              <w:bottom w:val="nil"/>
              <w:right w:val="nil"/>
            </w:tcBorders>
            <w:noWrap/>
            <w:vAlign w:val="bottom"/>
            <w:hideMark/>
          </w:tcPr>
          <w:p w14:paraId="024428D5"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0BDF34F2"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($258.60)</w:t>
            </w:r>
          </w:p>
        </w:tc>
        <w:tc>
          <w:tcPr>
            <w:tcW w:w="1620" w:type="dxa"/>
            <w:tcBorders>
              <w:top w:val="nil"/>
              <w:left w:val="nil"/>
              <w:bottom w:val="nil"/>
              <w:right w:val="nil"/>
            </w:tcBorders>
            <w:vAlign w:val="bottom"/>
          </w:tcPr>
          <w:p w14:paraId="0CFED8EC"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($464.37)</w:t>
            </w:r>
          </w:p>
        </w:tc>
      </w:tr>
      <w:tr w:rsidR="009E1D45" w:rsidRPr="00667704" w14:paraId="5B0AD944" w14:textId="77777777" w:rsidTr="001019DE">
        <w:trPr>
          <w:trHeight w:val="300"/>
          <w:jc w:val="center"/>
        </w:trPr>
        <w:tc>
          <w:tcPr>
            <w:tcW w:w="5110" w:type="dxa"/>
            <w:tcBorders>
              <w:top w:val="nil"/>
              <w:left w:val="nil"/>
              <w:right w:val="nil"/>
            </w:tcBorders>
            <w:noWrap/>
            <w:vAlign w:val="bottom"/>
            <w:hideMark/>
          </w:tcPr>
          <w:p w14:paraId="21E21850"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Special Education Millage</w:t>
            </w:r>
          </w:p>
        </w:tc>
        <w:tc>
          <w:tcPr>
            <w:tcW w:w="1640" w:type="dxa"/>
            <w:tcBorders>
              <w:top w:val="nil"/>
              <w:left w:val="nil"/>
              <w:right w:val="nil"/>
            </w:tcBorders>
            <w:noWrap/>
            <w:vAlign w:val="bottom"/>
            <w:hideMark/>
          </w:tcPr>
          <w:p w14:paraId="79CB7D11"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2.14</w:t>
            </w:r>
          </w:p>
        </w:tc>
        <w:tc>
          <w:tcPr>
            <w:tcW w:w="1620" w:type="dxa"/>
            <w:tcBorders>
              <w:top w:val="nil"/>
              <w:left w:val="nil"/>
              <w:right w:val="nil"/>
            </w:tcBorders>
            <w:vAlign w:val="bottom"/>
          </w:tcPr>
          <w:p w14:paraId="0E89E45F"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2.59</w:t>
            </w:r>
          </w:p>
        </w:tc>
      </w:tr>
      <w:tr w:rsidR="009E1D45" w:rsidRPr="00667704" w14:paraId="5988080B" w14:textId="77777777" w:rsidTr="001019DE">
        <w:trPr>
          <w:trHeight w:val="300"/>
          <w:jc w:val="center"/>
        </w:trPr>
        <w:tc>
          <w:tcPr>
            <w:tcW w:w="5110" w:type="dxa"/>
            <w:tcBorders>
              <w:top w:val="nil"/>
              <w:left w:val="nil"/>
              <w:right w:val="nil"/>
            </w:tcBorders>
            <w:noWrap/>
            <w:vAlign w:val="bottom"/>
            <w:hideMark/>
          </w:tcPr>
          <w:p w14:paraId="4A3DEDDA"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right w:val="nil"/>
            </w:tcBorders>
            <w:noWrap/>
            <w:vAlign w:val="bottom"/>
            <w:hideMark/>
          </w:tcPr>
          <w:p w14:paraId="44DAB077"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(0.90)</w:t>
            </w:r>
          </w:p>
        </w:tc>
        <w:tc>
          <w:tcPr>
            <w:tcW w:w="1620" w:type="dxa"/>
            <w:tcBorders>
              <w:top w:val="nil"/>
              <w:left w:val="nil"/>
              <w:right w:val="nil"/>
            </w:tcBorders>
            <w:vAlign w:val="bottom"/>
          </w:tcPr>
          <w:p w14:paraId="14B0B121"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(1.11)</w:t>
            </w:r>
          </w:p>
        </w:tc>
      </w:tr>
      <w:tr w:rsidR="009E1D45" w:rsidRPr="00667704" w14:paraId="12316D20" w14:textId="77777777" w:rsidTr="001019DE">
        <w:trPr>
          <w:trHeight w:val="300"/>
          <w:jc w:val="center"/>
        </w:trPr>
        <w:tc>
          <w:tcPr>
            <w:tcW w:w="5110" w:type="dxa"/>
            <w:tcBorders>
              <w:top w:val="nil"/>
              <w:left w:val="nil"/>
              <w:right w:val="nil"/>
            </w:tcBorders>
            <w:noWrap/>
            <w:vAlign w:val="bottom"/>
          </w:tcPr>
          <w:p w14:paraId="52A96BA8"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Special Education Millage Increase</w:t>
            </w:r>
          </w:p>
        </w:tc>
        <w:tc>
          <w:tcPr>
            <w:tcW w:w="1640" w:type="dxa"/>
            <w:tcBorders>
              <w:top w:val="nil"/>
              <w:left w:val="nil"/>
              <w:right w:val="nil"/>
            </w:tcBorders>
            <w:noWrap/>
            <w:vAlign w:val="bottom"/>
          </w:tcPr>
          <w:p w14:paraId="4893E7D1" w14:textId="77777777" w:rsidR="009E1D45" w:rsidRPr="007C1980" w:rsidRDefault="009E1D45" w:rsidP="001019DE">
            <w:pPr>
              <w:spacing w:after="0" w:line="240" w:lineRule="auto"/>
              <w:jc w:val="center"/>
              <w:rPr>
                <w:rFonts w:ascii="Times New Roman" w:hAnsi="Times New Roman" w:cs="Times New Roman"/>
              </w:rPr>
            </w:pPr>
            <w:r>
              <w:rPr>
                <w:rFonts w:ascii="Times New Roman" w:hAnsi="Times New Roman" w:cs="Times New Roman"/>
              </w:rPr>
              <w:t>-</w:t>
            </w:r>
          </w:p>
        </w:tc>
        <w:tc>
          <w:tcPr>
            <w:tcW w:w="1620" w:type="dxa"/>
            <w:tcBorders>
              <w:top w:val="nil"/>
              <w:left w:val="nil"/>
              <w:right w:val="nil"/>
            </w:tcBorders>
            <w:vAlign w:val="bottom"/>
          </w:tcPr>
          <w:p w14:paraId="6D312A52" w14:textId="77777777" w:rsidR="009E1D45" w:rsidRPr="007C1980" w:rsidRDefault="009E1D45" w:rsidP="001019DE">
            <w:pPr>
              <w:spacing w:after="0" w:line="240" w:lineRule="auto"/>
              <w:jc w:val="center"/>
              <w:rPr>
                <w:rFonts w:ascii="Times New Roman" w:hAnsi="Times New Roman" w:cs="Times New Roman"/>
              </w:rPr>
            </w:pPr>
            <w:r>
              <w:rPr>
                <w:rFonts w:ascii="Times New Roman" w:hAnsi="Times New Roman" w:cs="Times New Roman"/>
              </w:rPr>
              <w:t>0.61</w:t>
            </w:r>
          </w:p>
        </w:tc>
      </w:tr>
      <w:tr w:rsidR="009E1D45" w:rsidRPr="00667704" w14:paraId="114C7F3F" w14:textId="77777777" w:rsidTr="001019DE">
        <w:trPr>
          <w:trHeight w:val="300"/>
          <w:jc w:val="center"/>
        </w:trPr>
        <w:tc>
          <w:tcPr>
            <w:tcW w:w="5110" w:type="dxa"/>
            <w:tcBorders>
              <w:left w:val="nil"/>
              <w:bottom w:val="single" w:sz="4" w:space="0" w:color="auto"/>
              <w:right w:val="nil"/>
            </w:tcBorders>
            <w:noWrap/>
            <w:vAlign w:val="bottom"/>
          </w:tcPr>
          <w:p w14:paraId="0D34164E"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left w:val="nil"/>
              <w:bottom w:val="single" w:sz="4" w:space="0" w:color="auto"/>
              <w:right w:val="nil"/>
            </w:tcBorders>
            <w:noWrap/>
            <w:vAlign w:val="bottom"/>
          </w:tcPr>
          <w:p w14:paraId="22487239" w14:textId="77777777" w:rsidR="009E1D45" w:rsidRPr="007C1980" w:rsidRDefault="009E1D45" w:rsidP="001019DE">
            <w:pPr>
              <w:spacing w:after="0" w:line="240" w:lineRule="auto"/>
              <w:jc w:val="center"/>
              <w:rPr>
                <w:rFonts w:ascii="Times New Roman" w:hAnsi="Times New Roman" w:cs="Times New Roman"/>
              </w:rPr>
            </w:pPr>
            <w:r>
              <w:rPr>
                <w:rFonts w:ascii="Times New Roman" w:hAnsi="Times New Roman" w:cs="Times New Roman"/>
              </w:rPr>
              <w:t>-</w:t>
            </w:r>
          </w:p>
        </w:tc>
        <w:tc>
          <w:tcPr>
            <w:tcW w:w="1620" w:type="dxa"/>
            <w:tcBorders>
              <w:left w:val="nil"/>
              <w:bottom w:val="single" w:sz="4" w:space="0" w:color="auto"/>
              <w:right w:val="nil"/>
            </w:tcBorders>
            <w:vAlign w:val="bottom"/>
          </w:tcPr>
          <w:p w14:paraId="5052BDE9" w14:textId="77777777" w:rsidR="009E1D45" w:rsidRPr="007C1980" w:rsidRDefault="009E1D45" w:rsidP="001019DE">
            <w:pPr>
              <w:spacing w:after="0" w:line="240" w:lineRule="auto"/>
              <w:jc w:val="center"/>
              <w:rPr>
                <w:rFonts w:ascii="Times New Roman" w:hAnsi="Times New Roman" w:cs="Times New Roman"/>
              </w:rPr>
            </w:pPr>
            <w:r>
              <w:rPr>
                <w:rFonts w:ascii="Times New Roman" w:hAnsi="Times New Roman" w:cs="Times New Roman"/>
              </w:rPr>
              <w:t>(0.50)</w:t>
            </w:r>
          </w:p>
        </w:tc>
      </w:tr>
      <w:tr w:rsidR="009E1D45" w:rsidRPr="00667704" w14:paraId="302DF763" w14:textId="77777777" w:rsidTr="001019DE">
        <w:trPr>
          <w:trHeight w:val="300"/>
          <w:jc w:val="center"/>
        </w:trPr>
        <w:tc>
          <w:tcPr>
            <w:tcW w:w="5110" w:type="dxa"/>
            <w:tcBorders>
              <w:top w:val="single" w:sz="4" w:space="0" w:color="auto"/>
              <w:left w:val="nil"/>
              <w:right w:val="nil"/>
            </w:tcBorders>
            <w:noWrap/>
            <w:vAlign w:val="bottom"/>
          </w:tcPr>
          <w:p w14:paraId="3EBA4112" w14:textId="77777777" w:rsidR="009E1D45" w:rsidRPr="00DA38EA" w:rsidRDefault="009E1D45" w:rsidP="001019DE">
            <w:pPr>
              <w:spacing w:after="0" w:line="240" w:lineRule="auto"/>
              <w:rPr>
                <w:rFonts w:ascii="Times New Roman" w:hAnsi="Times New Roman" w:cs="Times New Roman"/>
                <w:i/>
                <w:iCs/>
              </w:rPr>
            </w:pPr>
            <w:r w:rsidRPr="00DA38EA">
              <w:rPr>
                <w:rFonts w:ascii="Times New Roman" w:hAnsi="Times New Roman" w:cs="Times New Roman"/>
                <w:i/>
                <w:iCs/>
              </w:rPr>
              <w:t>Student Demographics</w:t>
            </w:r>
          </w:p>
        </w:tc>
        <w:tc>
          <w:tcPr>
            <w:tcW w:w="1640" w:type="dxa"/>
            <w:tcBorders>
              <w:top w:val="single" w:sz="4" w:space="0" w:color="auto"/>
              <w:left w:val="nil"/>
              <w:right w:val="nil"/>
            </w:tcBorders>
            <w:noWrap/>
            <w:vAlign w:val="bottom"/>
          </w:tcPr>
          <w:p w14:paraId="0A5F1753" w14:textId="77777777" w:rsidR="009E1D45" w:rsidRPr="007C1980" w:rsidRDefault="009E1D45" w:rsidP="001019DE">
            <w:pPr>
              <w:spacing w:after="0" w:line="240" w:lineRule="auto"/>
              <w:jc w:val="center"/>
              <w:rPr>
                <w:rFonts w:ascii="Times New Roman" w:hAnsi="Times New Roman" w:cs="Times New Roman"/>
              </w:rPr>
            </w:pPr>
          </w:p>
        </w:tc>
        <w:tc>
          <w:tcPr>
            <w:tcW w:w="1620" w:type="dxa"/>
            <w:tcBorders>
              <w:top w:val="single" w:sz="4" w:space="0" w:color="auto"/>
              <w:left w:val="nil"/>
              <w:right w:val="nil"/>
            </w:tcBorders>
            <w:vAlign w:val="bottom"/>
          </w:tcPr>
          <w:p w14:paraId="7D0E7F13" w14:textId="77777777" w:rsidR="009E1D45" w:rsidRPr="007C1980" w:rsidRDefault="009E1D45" w:rsidP="001019DE">
            <w:pPr>
              <w:spacing w:after="0" w:line="240" w:lineRule="auto"/>
              <w:jc w:val="center"/>
              <w:rPr>
                <w:rFonts w:ascii="Times New Roman" w:hAnsi="Times New Roman" w:cs="Times New Roman"/>
              </w:rPr>
            </w:pPr>
          </w:p>
        </w:tc>
      </w:tr>
      <w:tr w:rsidR="009E1D45" w:rsidRPr="00667704" w14:paraId="6D98FD7E" w14:textId="77777777" w:rsidTr="001019DE">
        <w:trPr>
          <w:trHeight w:val="300"/>
          <w:jc w:val="center"/>
        </w:trPr>
        <w:tc>
          <w:tcPr>
            <w:tcW w:w="5110" w:type="dxa"/>
            <w:tcBorders>
              <w:left w:val="nil"/>
              <w:bottom w:val="nil"/>
              <w:right w:val="nil"/>
            </w:tcBorders>
            <w:noWrap/>
            <w:vAlign w:val="bottom"/>
            <w:hideMark/>
          </w:tcPr>
          <w:p w14:paraId="6E7851A0"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Female</w:t>
            </w:r>
          </w:p>
        </w:tc>
        <w:tc>
          <w:tcPr>
            <w:tcW w:w="1640" w:type="dxa"/>
            <w:tcBorders>
              <w:left w:val="nil"/>
              <w:bottom w:val="nil"/>
              <w:right w:val="nil"/>
            </w:tcBorders>
            <w:noWrap/>
            <w:vAlign w:val="bottom"/>
            <w:hideMark/>
          </w:tcPr>
          <w:p w14:paraId="18E05DF7"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0.48</w:t>
            </w:r>
          </w:p>
        </w:tc>
        <w:tc>
          <w:tcPr>
            <w:tcW w:w="1620" w:type="dxa"/>
            <w:tcBorders>
              <w:left w:val="nil"/>
              <w:bottom w:val="nil"/>
              <w:right w:val="nil"/>
            </w:tcBorders>
            <w:vAlign w:val="bottom"/>
          </w:tcPr>
          <w:p w14:paraId="7281835A"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0.48</w:t>
            </w:r>
          </w:p>
        </w:tc>
      </w:tr>
      <w:tr w:rsidR="009E1D45" w:rsidRPr="00667704" w14:paraId="6179F608" w14:textId="77777777" w:rsidTr="001019DE">
        <w:trPr>
          <w:trHeight w:val="300"/>
          <w:jc w:val="center"/>
        </w:trPr>
        <w:tc>
          <w:tcPr>
            <w:tcW w:w="5110" w:type="dxa"/>
            <w:tcBorders>
              <w:top w:val="nil"/>
              <w:left w:val="nil"/>
              <w:bottom w:val="nil"/>
              <w:right w:val="nil"/>
            </w:tcBorders>
            <w:noWrap/>
            <w:vAlign w:val="bottom"/>
            <w:hideMark/>
          </w:tcPr>
          <w:p w14:paraId="2141B6E6"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71124D39"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(0.01)</w:t>
            </w:r>
          </w:p>
        </w:tc>
        <w:tc>
          <w:tcPr>
            <w:tcW w:w="1620" w:type="dxa"/>
            <w:tcBorders>
              <w:top w:val="nil"/>
              <w:left w:val="nil"/>
              <w:bottom w:val="nil"/>
              <w:right w:val="nil"/>
            </w:tcBorders>
            <w:vAlign w:val="bottom"/>
          </w:tcPr>
          <w:p w14:paraId="66298255"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(0.01)</w:t>
            </w:r>
          </w:p>
        </w:tc>
      </w:tr>
      <w:tr w:rsidR="009E1D45" w:rsidRPr="00667704" w14:paraId="4FA4B2AD" w14:textId="77777777" w:rsidTr="001019DE">
        <w:trPr>
          <w:trHeight w:val="300"/>
          <w:jc w:val="center"/>
        </w:trPr>
        <w:tc>
          <w:tcPr>
            <w:tcW w:w="5110" w:type="dxa"/>
            <w:tcBorders>
              <w:top w:val="nil"/>
              <w:left w:val="nil"/>
              <w:bottom w:val="nil"/>
              <w:right w:val="nil"/>
            </w:tcBorders>
            <w:noWrap/>
            <w:vAlign w:val="bottom"/>
            <w:hideMark/>
          </w:tcPr>
          <w:p w14:paraId="1EE0741D"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Black</w:t>
            </w:r>
          </w:p>
        </w:tc>
        <w:tc>
          <w:tcPr>
            <w:tcW w:w="1640" w:type="dxa"/>
            <w:tcBorders>
              <w:top w:val="nil"/>
              <w:left w:val="nil"/>
              <w:bottom w:val="nil"/>
              <w:right w:val="nil"/>
            </w:tcBorders>
            <w:noWrap/>
            <w:vAlign w:val="bottom"/>
            <w:hideMark/>
          </w:tcPr>
          <w:p w14:paraId="23D342E5"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0.05</w:t>
            </w:r>
          </w:p>
        </w:tc>
        <w:tc>
          <w:tcPr>
            <w:tcW w:w="1620" w:type="dxa"/>
            <w:tcBorders>
              <w:top w:val="nil"/>
              <w:left w:val="nil"/>
              <w:bottom w:val="nil"/>
              <w:right w:val="nil"/>
            </w:tcBorders>
            <w:vAlign w:val="bottom"/>
          </w:tcPr>
          <w:p w14:paraId="7ABA142B"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0.06</w:t>
            </w:r>
          </w:p>
        </w:tc>
      </w:tr>
      <w:tr w:rsidR="009E1D45" w:rsidRPr="00667704" w14:paraId="43BD9FAA" w14:textId="77777777" w:rsidTr="001019DE">
        <w:trPr>
          <w:trHeight w:val="300"/>
          <w:jc w:val="center"/>
        </w:trPr>
        <w:tc>
          <w:tcPr>
            <w:tcW w:w="5110" w:type="dxa"/>
            <w:tcBorders>
              <w:top w:val="nil"/>
              <w:left w:val="nil"/>
              <w:bottom w:val="nil"/>
              <w:right w:val="nil"/>
            </w:tcBorders>
            <w:noWrap/>
            <w:vAlign w:val="bottom"/>
            <w:hideMark/>
          </w:tcPr>
          <w:p w14:paraId="7C6776D4"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28469702"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(0.07)</w:t>
            </w:r>
          </w:p>
        </w:tc>
        <w:tc>
          <w:tcPr>
            <w:tcW w:w="1620" w:type="dxa"/>
            <w:tcBorders>
              <w:top w:val="nil"/>
              <w:left w:val="nil"/>
              <w:bottom w:val="nil"/>
              <w:right w:val="nil"/>
            </w:tcBorders>
            <w:vAlign w:val="bottom"/>
          </w:tcPr>
          <w:p w14:paraId="371BE219"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(0.08)</w:t>
            </w:r>
          </w:p>
        </w:tc>
      </w:tr>
      <w:tr w:rsidR="009E1D45" w:rsidRPr="00667704" w14:paraId="0D381F9E" w14:textId="77777777" w:rsidTr="001019DE">
        <w:trPr>
          <w:trHeight w:val="300"/>
          <w:jc w:val="center"/>
        </w:trPr>
        <w:tc>
          <w:tcPr>
            <w:tcW w:w="5110" w:type="dxa"/>
            <w:tcBorders>
              <w:top w:val="nil"/>
              <w:left w:val="nil"/>
              <w:bottom w:val="nil"/>
              <w:right w:val="nil"/>
            </w:tcBorders>
            <w:noWrap/>
            <w:vAlign w:val="bottom"/>
            <w:hideMark/>
          </w:tcPr>
          <w:p w14:paraId="5CA31AA4"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Hispanic/Latino</w:t>
            </w:r>
          </w:p>
        </w:tc>
        <w:tc>
          <w:tcPr>
            <w:tcW w:w="1640" w:type="dxa"/>
            <w:tcBorders>
              <w:top w:val="nil"/>
              <w:left w:val="nil"/>
              <w:bottom w:val="nil"/>
              <w:right w:val="nil"/>
            </w:tcBorders>
            <w:noWrap/>
            <w:vAlign w:val="bottom"/>
            <w:hideMark/>
          </w:tcPr>
          <w:p w14:paraId="7841F644"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0.06</w:t>
            </w:r>
          </w:p>
        </w:tc>
        <w:tc>
          <w:tcPr>
            <w:tcW w:w="1620" w:type="dxa"/>
            <w:tcBorders>
              <w:top w:val="nil"/>
              <w:left w:val="nil"/>
              <w:bottom w:val="nil"/>
              <w:right w:val="nil"/>
            </w:tcBorders>
            <w:vAlign w:val="bottom"/>
          </w:tcPr>
          <w:p w14:paraId="1591961A"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0.06</w:t>
            </w:r>
          </w:p>
        </w:tc>
      </w:tr>
      <w:tr w:rsidR="009E1D45" w:rsidRPr="00667704" w14:paraId="70B9902C" w14:textId="77777777" w:rsidTr="001019DE">
        <w:trPr>
          <w:trHeight w:val="300"/>
          <w:jc w:val="center"/>
        </w:trPr>
        <w:tc>
          <w:tcPr>
            <w:tcW w:w="5110" w:type="dxa"/>
            <w:tcBorders>
              <w:top w:val="nil"/>
              <w:left w:val="nil"/>
              <w:bottom w:val="nil"/>
              <w:right w:val="nil"/>
            </w:tcBorders>
            <w:noWrap/>
            <w:vAlign w:val="bottom"/>
            <w:hideMark/>
          </w:tcPr>
          <w:p w14:paraId="3D219E68"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4DC6C37D"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(0.06)</w:t>
            </w:r>
          </w:p>
        </w:tc>
        <w:tc>
          <w:tcPr>
            <w:tcW w:w="1620" w:type="dxa"/>
            <w:tcBorders>
              <w:top w:val="nil"/>
              <w:left w:val="nil"/>
              <w:bottom w:val="nil"/>
              <w:right w:val="nil"/>
            </w:tcBorders>
            <w:vAlign w:val="bottom"/>
          </w:tcPr>
          <w:p w14:paraId="5D4665BB"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(0.05)</w:t>
            </w:r>
          </w:p>
        </w:tc>
      </w:tr>
      <w:tr w:rsidR="009E1D45" w:rsidRPr="00667704" w14:paraId="27CC6F65" w14:textId="77777777" w:rsidTr="001019DE">
        <w:trPr>
          <w:trHeight w:val="300"/>
          <w:jc w:val="center"/>
        </w:trPr>
        <w:tc>
          <w:tcPr>
            <w:tcW w:w="5110" w:type="dxa"/>
            <w:tcBorders>
              <w:top w:val="nil"/>
              <w:left w:val="nil"/>
              <w:bottom w:val="nil"/>
              <w:right w:val="nil"/>
            </w:tcBorders>
            <w:noWrap/>
            <w:vAlign w:val="bottom"/>
            <w:hideMark/>
          </w:tcPr>
          <w:p w14:paraId="19DCCEA4"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Asian</w:t>
            </w:r>
          </w:p>
        </w:tc>
        <w:tc>
          <w:tcPr>
            <w:tcW w:w="1640" w:type="dxa"/>
            <w:tcBorders>
              <w:top w:val="nil"/>
              <w:left w:val="nil"/>
              <w:bottom w:val="nil"/>
              <w:right w:val="nil"/>
            </w:tcBorders>
            <w:noWrap/>
            <w:vAlign w:val="bottom"/>
            <w:hideMark/>
          </w:tcPr>
          <w:p w14:paraId="46F01736"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0.01</w:t>
            </w:r>
          </w:p>
        </w:tc>
        <w:tc>
          <w:tcPr>
            <w:tcW w:w="1620" w:type="dxa"/>
            <w:tcBorders>
              <w:top w:val="nil"/>
              <w:left w:val="nil"/>
              <w:bottom w:val="nil"/>
              <w:right w:val="nil"/>
            </w:tcBorders>
            <w:vAlign w:val="bottom"/>
          </w:tcPr>
          <w:p w14:paraId="03B73DD9"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0.01</w:t>
            </w:r>
          </w:p>
        </w:tc>
      </w:tr>
      <w:tr w:rsidR="009E1D45" w:rsidRPr="00667704" w14:paraId="70D4B290" w14:textId="77777777" w:rsidTr="001019DE">
        <w:trPr>
          <w:trHeight w:val="300"/>
          <w:jc w:val="center"/>
        </w:trPr>
        <w:tc>
          <w:tcPr>
            <w:tcW w:w="5110" w:type="dxa"/>
            <w:tcBorders>
              <w:top w:val="nil"/>
              <w:left w:val="nil"/>
              <w:bottom w:val="nil"/>
              <w:right w:val="nil"/>
            </w:tcBorders>
            <w:noWrap/>
            <w:vAlign w:val="bottom"/>
            <w:hideMark/>
          </w:tcPr>
          <w:p w14:paraId="68DA4D0E"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19CB0A59"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(0.01)</w:t>
            </w:r>
          </w:p>
        </w:tc>
        <w:tc>
          <w:tcPr>
            <w:tcW w:w="1620" w:type="dxa"/>
            <w:tcBorders>
              <w:top w:val="nil"/>
              <w:left w:val="nil"/>
              <w:bottom w:val="nil"/>
              <w:right w:val="nil"/>
            </w:tcBorders>
            <w:vAlign w:val="bottom"/>
          </w:tcPr>
          <w:p w14:paraId="1D58C044"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(0.01)</w:t>
            </w:r>
          </w:p>
        </w:tc>
      </w:tr>
      <w:tr w:rsidR="009E1D45" w:rsidRPr="00667704" w14:paraId="315E611A" w14:textId="77777777" w:rsidTr="001019DE">
        <w:trPr>
          <w:trHeight w:val="300"/>
          <w:jc w:val="center"/>
        </w:trPr>
        <w:tc>
          <w:tcPr>
            <w:tcW w:w="5110" w:type="dxa"/>
            <w:tcBorders>
              <w:top w:val="nil"/>
              <w:left w:val="nil"/>
              <w:bottom w:val="nil"/>
              <w:right w:val="nil"/>
            </w:tcBorders>
            <w:noWrap/>
            <w:vAlign w:val="bottom"/>
            <w:hideMark/>
          </w:tcPr>
          <w:p w14:paraId="2AD3318E"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Other Race/Ethnicity</w:t>
            </w:r>
          </w:p>
        </w:tc>
        <w:tc>
          <w:tcPr>
            <w:tcW w:w="1640" w:type="dxa"/>
            <w:tcBorders>
              <w:top w:val="nil"/>
              <w:left w:val="nil"/>
              <w:bottom w:val="nil"/>
              <w:right w:val="nil"/>
            </w:tcBorders>
            <w:noWrap/>
            <w:vAlign w:val="bottom"/>
            <w:hideMark/>
          </w:tcPr>
          <w:p w14:paraId="0320D601"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0.04</w:t>
            </w:r>
          </w:p>
        </w:tc>
        <w:tc>
          <w:tcPr>
            <w:tcW w:w="1620" w:type="dxa"/>
            <w:tcBorders>
              <w:top w:val="nil"/>
              <w:left w:val="nil"/>
              <w:bottom w:val="nil"/>
              <w:right w:val="nil"/>
            </w:tcBorders>
            <w:vAlign w:val="bottom"/>
          </w:tcPr>
          <w:p w14:paraId="1DBE876F"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0.06</w:t>
            </w:r>
          </w:p>
        </w:tc>
      </w:tr>
      <w:tr w:rsidR="009E1D45" w:rsidRPr="00667704" w14:paraId="2E7B5CCA" w14:textId="77777777" w:rsidTr="001019DE">
        <w:trPr>
          <w:trHeight w:val="300"/>
          <w:jc w:val="center"/>
        </w:trPr>
        <w:tc>
          <w:tcPr>
            <w:tcW w:w="5110" w:type="dxa"/>
            <w:tcBorders>
              <w:top w:val="nil"/>
              <w:left w:val="nil"/>
              <w:bottom w:val="nil"/>
              <w:right w:val="nil"/>
            </w:tcBorders>
            <w:noWrap/>
            <w:vAlign w:val="bottom"/>
            <w:hideMark/>
          </w:tcPr>
          <w:p w14:paraId="0CC000A2"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3CE506B1"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(0.03)</w:t>
            </w:r>
          </w:p>
        </w:tc>
        <w:tc>
          <w:tcPr>
            <w:tcW w:w="1620" w:type="dxa"/>
            <w:tcBorders>
              <w:top w:val="nil"/>
              <w:left w:val="nil"/>
              <w:bottom w:val="nil"/>
              <w:right w:val="nil"/>
            </w:tcBorders>
            <w:vAlign w:val="bottom"/>
          </w:tcPr>
          <w:p w14:paraId="393E84D9"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(0.07)</w:t>
            </w:r>
          </w:p>
        </w:tc>
      </w:tr>
      <w:tr w:rsidR="009E1D45" w:rsidRPr="00667704" w14:paraId="7B9793EE" w14:textId="77777777" w:rsidTr="001019DE">
        <w:trPr>
          <w:trHeight w:val="300"/>
          <w:jc w:val="center"/>
        </w:trPr>
        <w:tc>
          <w:tcPr>
            <w:tcW w:w="5110" w:type="dxa"/>
            <w:tcBorders>
              <w:top w:val="nil"/>
              <w:left w:val="nil"/>
              <w:bottom w:val="nil"/>
              <w:right w:val="nil"/>
            </w:tcBorders>
            <w:noWrap/>
            <w:vAlign w:val="bottom"/>
            <w:hideMark/>
          </w:tcPr>
          <w:p w14:paraId="4DA370B2"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Economically Disadvantaged</w:t>
            </w:r>
          </w:p>
        </w:tc>
        <w:tc>
          <w:tcPr>
            <w:tcW w:w="1640" w:type="dxa"/>
            <w:tcBorders>
              <w:top w:val="nil"/>
              <w:left w:val="nil"/>
              <w:bottom w:val="nil"/>
              <w:right w:val="nil"/>
            </w:tcBorders>
            <w:noWrap/>
            <w:vAlign w:val="bottom"/>
            <w:hideMark/>
          </w:tcPr>
          <w:p w14:paraId="1227492A"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0.51</w:t>
            </w:r>
          </w:p>
        </w:tc>
        <w:tc>
          <w:tcPr>
            <w:tcW w:w="1620" w:type="dxa"/>
            <w:tcBorders>
              <w:top w:val="nil"/>
              <w:left w:val="nil"/>
              <w:bottom w:val="nil"/>
              <w:right w:val="nil"/>
            </w:tcBorders>
            <w:vAlign w:val="bottom"/>
          </w:tcPr>
          <w:p w14:paraId="082E8456"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0.49</w:t>
            </w:r>
          </w:p>
        </w:tc>
      </w:tr>
      <w:tr w:rsidR="009E1D45" w:rsidRPr="00667704" w14:paraId="106A86A9" w14:textId="77777777" w:rsidTr="001019DE">
        <w:trPr>
          <w:trHeight w:val="300"/>
          <w:jc w:val="center"/>
        </w:trPr>
        <w:tc>
          <w:tcPr>
            <w:tcW w:w="5110" w:type="dxa"/>
            <w:tcBorders>
              <w:top w:val="nil"/>
              <w:left w:val="nil"/>
              <w:bottom w:val="nil"/>
              <w:right w:val="nil"/>
            </w:tcBorders>
            <w:noWrap/>
            <w:vAlign w:val="bottom"/>
            <w:hideMark/>
          </w:tcPr>
          <w:p w14:paraId="0113169D"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54572FF8"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(0.11)</w:t>
            </w:r>
          </w:p>
        </w:tc>
        <w:tc>
          <w:tcPr>
            <w:tcW w:w="1620" w:type="dxa"/>
            <w:tcBorders>
              <w:top w:val="nil"/>
              <w:left w:val="nil"/>
              <w:bottom w:val="nil"/>
              <w:right w:val="nil"/>
            </w:tcBorders>
            <w:vAlign w:val="bottom"/>
          </w:tcPr>
          <w:p w14:paraId="2FD81A02"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(0.13)</w:t>
            </w:r>
          </w:p>
        </w:tc>
      </w:tr>
      <w:tr w:rsidR="009E1D45" w:rsidRPr="00667704" w14:paraId="2D3422E3" w14:textId="77777777" w:rsidTr="001019DE">
        <w:trPr>
          <w:trHeight w:val="300"/>
          <w:jc w:val="center"/>
        </w:trPr>
        <w:tc>
          <w:tcPr>
            <w:tcW w:w="5110" w:type="dxa"/>
            <w:tcBorders>
              <w:top w:val="nil"/>
              <w:left w:val="nil"/>
              <w:bottom w:val="nil"/>
              <w:right w:val="nil"/>
            </w:tcBorders>
            <w:noWrap/>
            <w:vAlign w:val="bottom"/>
            <w:hideMark/>
          </w:tcPr>
          <w:p w14:paraId="61BCC341"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English Learner</w:t>
            </w:r>
          </w:p>
        </w:tc>
        <w:tc>
          <w:tcPr>
            <w:tcW w:w="1640" w:type="dxa"/>
            <w:tcBorders>
              <w:top w:val="nil"/>
              <w:left w:val="nil"/>
              <w:bottom w:val="nil"/>
              <w:right w:val="nil"/>
            </w:tcBorders>
            <w:noWrap/>
            <w:vAlign w:val="bottom"/>
            <w:hideMark/>
          </w:tcPr>
          <w:p w14:paraId="219B87DB"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0.01</w:t>
            </w:r>
          </w:p>
        </w:tc>
        <w:tc>
          <w:tcPr>
            <w:tcW w:w="1620" w:type="dxa"/>
            <w:tcBorders>
              <w:top w:val="nil"/>
              <w:left w:val="nil"/>
              <w:bottom w:val="nil"/>
              <w:right w:val="nil"/>
            </w:tcBorders>
            <w:vAlign w:val="bottom"/>
          </w:tcPr>
          <w:p w14:paraId="66B79DF8"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0.02</w:t>
            </w:r>
          </w:p>
        </w:tc>
      </w:tr>
      <w:tr w:rsidR="009E1D45" w:rsidRPr="00667704" w14:paraId="0C7D85F0" w14:textId="77777777" w:rsidTr="001019DE">
        <w:trPr>
          <w:trHeight w:val="300"/>
          <w:jc w:val="center"/>
        </w:trPr>
        <w:tc>
          <w:tcPr>
            <w:tcW w:w="5110" w:type="dxa"/>
            <w:tcBorders>
              <w:top w:val="nil"/>
              <w:left w:val="nil"/>
              <w:bottom w:val="nil"/>
              <w:right w:val="nil"/>
            </w:tcBorders>
            <w:noWrap/>
            <w:vAlign w:val="bottom"/>
            <w:hideMark/>
          </w:tcPr>
          <w:p w14:paraId="442B389B"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4927597E"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(0.03)</w:t>
            </w:r>
          </w:p>
        </w:tc>
        <w:tc>
          <w:tcPr>
            <w:tcW w:w="1620" w:type="dxa"/>
            <w:tcBorders>
              <w:top w:val="nil"/>
              <w:left w:val="nil"/>
              <w:bottom w:val="nil"/>
              <w:right w:val="nil"/>
            </w:tcBorders>
            <w:vAlign w:val="bottom"/>
          </w:tcPr>
          <w:p w14:paraId="05A0FFAF"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(0.03)</w:t>
            </w:r>
          </w:p>
        </w:tc>
      </w:tr>
      <w:tr w:rsidR="009E1D45" w:rsidRPr="00667704" w14:paraId="191A9193" w14:textId="77777777" w:rsidTr="001019DE">
        <w:trPr>
          <w:trHeight w:val="300"/>
          <w:jc w:val="center"/>
        </w:trPr>
        <w:tc>
          <w:tcPr>
            <w:tcW w:w="5110" w:type="dxa"/>
            <w:tcBorders>
              <w:top w:val="nil"/>
              <w:left w:val="nil"/>
              <w:bottom w:val="nil"/>
              <w:right w:val="nil"/>
            </w:tcBorders>
            <w:noWrap/>
            <w:vAlign w:val="bottom"/>
            <w:hideMark/>
          </w:tcPr>
          <w:p w14:paraId="468805DA"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Special Education</w:t>
            </w:r>
          </w:p>
        </w:tc>
        <w:tc>
          <w:tcPr>
            <w:tcW w:w="1640" w:type="dxa"/>
            <w:tcBorders>
              <w:top w:val="nil"/>
              <w:left w:val="nil"/>
              <w:bottom w:val="nil"/>
              <w:right w:val="nil"/>
            </w:tcBorders>
            <w:noWrap/>
            <w:vAlign w:val="bottom"/>
            <w:hideMark/>
          </w:tcPr>
          <w:p w14:paraId="6B5568D7"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0.17</w:t>
            </w:r>
          </w:p>
        </w:tc>
        <w:tc>
          <w:tcPr>
            <w:tcW w:w="1620" w:type="dxa"/>
            <w:tcBorders>
              <w:top w:val="nil"/>
              <w:left w:val="nil"/>
              <w:bottom w:val="nil"/>
              <w:right w:val="nil"/>
            </w:tcBorders>
            <w:vAlign w:val="bottom"/>
          </w:tcPr>
          <w:p w14:paraId="46A3E87B"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0.17</w:t>
            </w:r>
          </w:p>
        </w:tc>
      </w:tr>
      <w:tr w:rsidR="009E1D45" w:rsidRPr="00667704" w14:paraId="0FB5FD44" w14:textId="77777777" w:rsidTr="001019DE">
        <w:trPr>
          <w:trHeight w:val="300"/>
          <w:jc w:val="center"/>
        </w:trPr>
        <w:tc>
          <w:tcPr>
            <w:tcW w:w="5110" w:type="dxa"/>
            <w:tcBorders>
              <w:top w:val="nil"/>
              <w:left w:val="nil"/>
              <w:bottom w:val="single" w:sz="4" w:space="0" w:color="auto"/>
              <w:right w:val="nil"/>
            </w:tcBorders>
            <w:noWrap/>
            <w:vAlign w:val="bottom"/>
            <w:hideMark/>
          </w:tcPr>
          <w:p w14:paraId="2B4F748B"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single" w:sz="4" w:space="0" w:color="auto"/>
              <w:right w:val="nil"/>
            </w:tcBorders>
            <w:noWrap/>
            <w:vAlign w:val="bottom"/>
            <w:hideMark/>
          </w:tcPr>
          <w:p w14:paraId="2236BE8E"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(0.02)</w:t>
            </w:r>
          </w:p>
        </w:tc>
        <w:tc>
          <w:tcPr>
            <w:tcW w:w="1620" w:type="dxa"/>
            <w:tcBorders>
              <w:top w:val="nil"/>
              <w:left w:val="nil"/>
              <w:bottom w:val="single" w:sz="4" w:space="0" w:color="auto"/>
              <w:right w:val="nil"/>
            </w:tcBorders>
            <w:vAlign w:val="bottom"/>
          </w:tcPr>
          <w:p w14:paraId="2939210F"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(0.03)</w:t>
            </w:r>
          </w:p>
        </w:tc>
      </w:tr>
      <w:tr w:rsidR="009E1D45" w:rsidRPr="00667704" w14:paraId="6F5B49DD" w14:textId="77777777" w:rsidTr="001019DE">
        <w:trPr>
          <w:trHeight w:val="300"/>
          <w:jc w:val="center"/>
        </w:trPr>
        <w:tc>
          <w:tcPr>
            <w:tcW w:w="5110" w:type="dxa"/>
            <w:tcBorders>
              <w:top w:val="single" w:sz="4" w:space="0" w:color="auto"/>
              <w:left w:val="nil"/>
              <w:bottom w:val="nil"/>
              <w:right w:val="nil"/>
            </w:tcBorders>
            <w:noWrap/>
            <w:vAlign w:val="bottom"/>
            <w:hideMark/>
          </w:tcPr>
          <w:p w14:paraId="53C1D1C0"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Total Students with Disabilities</w:t>
            </w:r>
          </w:p>
        </w:tc>
        <w:tc>
          <w:tcPr>
            <w:tcW w:w="1640" w:type="dxa"/>
            <w:tcBorders>
              <w:top w:val="single" w:sz="4" w:space="0" w:color="auto"/>
              <w:left w:val="nil"/>
              <w:bottom w:val="nil"/>
              <w:right w:val="nil"/>
            </w:tcBorders>
            <w:noWrap/>
            <w:vAlign w:val="bottom"/>
            <w:hideMark/>
          </w:tcPr>
          <w:p w14:paraId="4D98877E"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965,472</w:t>
            </w:r>
          </w:p>
        </w:tc>
        <w:tc>
          <w:tcPr>
            <w:tcW w:w="1620" w:type="dxa"/>
            <w:tcBorders>
              <w:top w:val="single" w:sz="4" w:space="0" w:color="auto"/>
              <w:left w:val="nil"/>
              <w:bottom w:val="nil"/>
              <w:right w:val="nil"/>
            </w:tcBorders>
            <w:vAlign w:val="bottom"/>
          </w:tcPr>
          <w:p w14:paraId="6F92D752"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1,634,375</w:t>
            </w:r>
          </w:p>
        </w:tc>
      </w:tr>
      <w:tr w:rsidR="009E1D45" w:rsidRPr="00667704" w14:paraId="50762295" w14:textId="77777777" w:rsidTr="001019DE">
        <w:trPr>
          <w:trHeight w:val="300"/>
          <w:jc w:val="center"/>
        </w:trPr>
        <w:tc>
          <w:tcPr>
            <w:tcW w:w="5110" w:type="dxa"/>
            <w:tcBorders>
              <w:top w:val="nil"/>
              <w:left w:val="nil"/>
              <w:right w:val="nil"/>
            </w:tcBorders>
            <w:noWrap/>
            <w:vAlign w:val="bottom"/>
            <w:hideMark/>
          </w:tcPr>
          <w:p w14:paraId="1C2DA4D7"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Total Students</w:t>
            </w:r>
          </w:p>
        </w:tc>
        <w:tc>
          <w:tcPr>
            <w:tcW w:w="1640" w:type="dxa"/>
            <w:tcBorders>
              <w:top w:val="nil"/>
              <w:left w:val="nil"/>
              <w:right w:val="nil"/>
            </w:tcBorders>
            <w:noWrap/>
            <w:vAlign w:val="bottom"/>
            <w:hideMark/>
          </w:tcPr>
          <w:p w14:paraId="1E1981D5"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5,782,988</w:t>
            </w:r>
          </w:p>
        </w:tc>
        <w:tc>
          <w:tcPr>
            <w:tcW w:w="1620" w:type="dxa"/>
            <w:tcBorders>
              <w:top w:val="nil"/>
              <w:left w:val="nil"/>
              <w:right w:val="nil"/>
            </w:tcBorders>
            <w:vAlign w:val="bottom"/>
          </w:tcPr>
          <w:p w14:paraId="539684EC"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Pr>
                <w:rFonts w:ascii="Times New Roman" w:hAnsi="Times New Roman" w:cs="Times New Roman"/>
              </w:rPr>
              <w:t>10,140,689</w:t>
            </w:r>
          </w:p>
        </w:tc>
      </w:tr>
      <w:tr w:rsidR="009E1D45" w:rsidRPr="00667704" w14:paraId="44D1126E" w14:textId="77777777" w:rsidTr="001019DE">
        <w:trPr>
          <w:trHeight w:val="300"/>
          <w:jc w:val="center"/>
        </w:trPr>
        <w:tc>
          <w:tcPr>
            <w:tcW w:w="5110" w:type="dxa"/>
            <w:tcBorders>
              <w:top w:val="nil"/>
              <w:left w:val="nil"/>
              <w:bottom w:val="single" w:sz="4" w:space="0" w:color="auto"/>
              <w:right w:val="nil"/>
            </w:tcBorders>
            <w:noWrap/>
            <w:vAlign w:val="bottom"/>
            <w:hideMark/>
          </w:tcPr>
          <w:p w14:paraId="5F198797" w14:textId="77777777" w:rsidR="009E1D45" w:rsidRPr="007C1980" w:rsidRDefault="009E1D45" w:rsidP="001019DE">
            <w:pPr>
              <w:spacing w:after="0" w:line="240" w:lineRule="auto"/>
              <w:rPr>
                <w:rFonts w:ascii="Times New Roman" w:eastAsia="Times New Roman" w:hAnsi="Times New Roman" w:cs="Times New Roman"/>
                <w:kern w:val="0"/>
                <w14:ligatures w14:val="none"/>
              </w:rPr>
            </w:pPr>
            <w:r w:rsidRPr="007C1980">
              <w:rPr>
                <w:rFonts w:ascii="Times New Roman" w:hAnsi="Times New Roman" w:cs="Times New Roman"/>
              </w:rPr>
              <w:t>Total ISDs</w:t>
            </w:r>
          </w:p>
        </w:tc>
        <w:tc>
          <w:tcPr>
            <w:tcW w:w="1640" w:type="dxa"/>
            <w:tcBorders>
              <w:top w:val="nil"/>
              <w:left w:val="nil"/>
              <w:bottom w:val="single" w:sz="4" w:space="0" w:color="auto"/>
              <w:right w:val="nil"/>
            </w:tcBorders>
            <w:noWrap/>
            <w:vAlign w:val="bottom"/>
            <w:hideMark/>
          </w:tcPr>
          <w:p w14:paraId="7173A769"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16</w:t>
            </w:r>
          </w:p>
        </w:tc>
        <w:tc>
          <w:tcPr>
            <w:tcW w:w="1620" w:type="dxa"/>
            <w:tcBorders>
              <w:top w:val="nil"/>
              <w:left w:val="nil"/>
              <w:bottom w:val="single" w:sz="4" w:space="0" w:color="auto"/>
              <w:right w:val="nil"/>
            </w:tcBorders>
            <w:vAlign w:val="bottom"/>
          </w:tcPr>
          <w:p w14:paraId="7CEA5523" w14:textId="77777777" w:rsidR="009E1D45" w:rsidRPr="007C1980" w:rsidRDefault="009E1D45" w:rsidP="001019DE">
            <w:pPr>
              <w:spacing w:after="0" w:line="240" w:lineRule="auto"/>
              <w:jc w:val="center"/>
              <w:rPr>
                <w:rFonts w:ascii="Times New Roman" w:eastAsia="Times New Roman" w:hAnsi="Times New Roman" w:cs="Times New Roman"/>
                <w:kern w:val="0"/>
                <w14:ligatures w14:val="none"/>
              </w:rPr>
            </w:pPr>
            <w:r w:rsidRPr="007C1980">
              <w:rPr>
                <w:rFonts w:ascii="Times New Roman" w:hAnsi="Times New Roman" w:cs="Times New Roman"/>
              </w:rPr>
              <w:t>26</w:t>
            </w:r>
          </w:p>
        </w:tc>
      </w:tr>
    </w:tbl>
    <w:p w14:paraId="23BCE366" w14:textId="77777777" w:rsidR="009E1D45" w:rsidRPr="00260524" w:rsidRDefault="009E1D45" w:rsidP="009E1D45">
      <w:pPr>
        <w:spacing w:after="0" w:line="240" w:lineRule="auto"/>
        <w:rPr>
          <w:rFonts w:ascii="Times New Roman" w:hAnsi="Times New Roman" w:cs="Times New Roman"/>
          <w:b/>
          <w:bCs/>
          <w:sz w:val="22"/>
          <w:szCs w:val="22"/>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ISD-level analytic sample summary statistics, 2003-04 through 2024-25 academic years. Financial data collected from the Michigan Financial Information Database. Student characteristics collected from student-level data. In the case that an ISD adopts a second property tax for special education during the sample period, data for years following the second adoption are removed from the sample. </w:t>
      </w:r>
      <w:r w:rsidRPr="007B176C">
        <w:rPr>
          <w:rFonts w:ascii="Times New Roman" w:hAnsi="Times New Roman" w:cs="Times New Roman"/>
          <w:i/>
          <w:iCs/>
          <w:sz w:val="20"/>
          <w:szCs w:val="20"/>
        </w:rPr>
        <w:t>All dollar values adjusted to 2025 dollars using the GDP S&amp;L price deflator.</w:t>
      </w:r>
    </w:p>
    <w:p w14:paraId="206C86F0" w14:textId="77777777" w:rsidR="009E1D45" w:rsidRPr="00667704" w:rsidRDefault="009E1D45" w:rsidP="009E1D45">
      <w:pPr>
        <w:jc w:val="center"/>
        <w:rPr>
          <w:rFonts w:ascii="Times New Roman" w:hAnsi="Times New Roman" w:cs="Times New Roman"/>
          <w:b/>
          <w:bCs/>
        </w:rPr>
      </w:pPr>
      <w:r w:rsidRPr="00667704">
        <w:rPr>
          <w:rFonts w:ascii="Times New Roman" w:hAnsi="Times New Roman" w:cs="Times New Roman"/>
          <w:b/>
          <w:bCs/>
        </w:rPr>
        <w:lastRenderedPageBreak/>
        <w:t xml:space="preserve">Table 2: Average Causal Response of </w:t>
      </w:r>
      <w:r>
        <w:rPr>
          <w:rFonts w:ascii="Times New Roman" w:hAnsi="Times New Roman" w:cs="Times New Roman"/>
          <w:b/>
          <w:bCs/>
        </w:rPr>
        <w:t xml:space="preserve">ISD-Level </w:t>
      </w:r>
      <w:r w:rsidRPr="00667704">
        <w:rPr>
          <w:rFonts w:ascii="Times New Roman" w:hAnsi="Times New Roman" w:cs="Times New Roman"/>
          <w:b/>
          <w:bCs/>
        </w:rPr>
        <w:t xml:space="preserve">Local Per-Pupil Special Education Revenues following </w:t>
      </w:r>
      <w:r>
        <w:rPr>
          <w:rFonts w:ascii="Times New Roman" w:hAnsi="Times New Roman" w:cs="Times New Roman"/>
          <w:b/>
          <w:bCs/>
        </w:rPr>
        <w:t>Earmarked Property Tax</w:t>
      </w:r>
      <w:r w:rsidRPr="00667704">
        <w:rPr>
          <w:rFonts w:ascii="Times New Roman" w:hAnsi="Times New Roman" w:cs="Times New Roman"/>
          <w:b/>
          <w:bCs/>
        </w:rPr>
        <w:t xml:space="preserve"> Increase</w:t>
      </w:r>
      <w:r>
        <w:rPr>
          <w:rFonts w:ascii="Times New Roman" w:hAnsi="Times New Roman" w:cs="Times New Roman"/>
          <w:b/>
          <w:bCs/>
        </w:rPr>
        <w:t>s</w:t>
      </w:r>
    </w:p>
    <w:tbl>
      <w:tblPr>
        <w:tblW w:w="10620" w:type="dxa"/>
        <w:tblInd w:w="-540" w:type="dxa"/>
        <w:tblLayout w:type="fixed"/>
        <w:tblLook w:val="0000" w:firstRow="0" w:lastRow="0" w:firstColumn="0" w:lastColumn="0" w:noHBand="0" w:noVBand="0"/>
      </w:tblPr>
      <w:tblGrid>
        <w:gridCol w:w="3156"/>
        <w:gridCol w:w="1866"/>
        <w:gridCol w:w="1866"/>
        <w:gridCol w:w="1866"/>
        <w:gridCol w:w="1866"/>
      </w:tblGrid>
      <w:tr w:rsidR="009E1D45" w14:paraId="5FEF3888" w14:textId="77777777" w:rsidTr="001019DE">
        <w:tc>
          <w:tcPr>
            <w:tcW w:w="3156" w:type="dxa"/>
            <w:tcBorders>
              <w:top w:val="single" w:sz="4" w:space="0" w:color="auto"/>
              <w:left w:val="nil"/>
              <w:bottom w:val="nil"/>
              <w:right w:val="nil"/>
            </w:tcBorders>
          </w:tcPr>
          <w:p w14:paraId="7E81789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866" w:type="dxa"/>
            <w:tcBorders>
              <w:top w:val="single" w:sz="4" w:space="0" w:color="auto"/>
              <w:left w:val="nil"/>
              <w:bottom w:val="nil"/>
              <w:right w:val="nil"/>
            </w:tcBorders>
          </w:tcPr>
          <w:p w14:paraId="47FBCC5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w:t>
            </w:r>
          </w:p>
        </w:tc>
        <w:tc>
          <w:tcPr>
            <w:tcW w:w="1866" w:type="dxa"/>
            <w:tcBorders>
              <w:top w:val="single" w:sz="4" w:space="0" w:color="auto"/>
              <w:left w:val="nil"/>
              <w:bottom w:val="nil"/>
              <w:right w:val="nil"/>
            </w:tcBorders>
          </w:tcPr>
          <w:p w14:paraId="21DAE1C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w:t>
            </w:r>
          </w:p>
        </w:tc>
        <w:tc>
          <w:tcPr>
            <w:tcW w:w="1866" w:type="dxa"/>
            <w:tcBorders>
              <w:top w:val="single" w:sz="4" w:space="0" w:color="auto"/>
              <w:left w:val="nil"/>
              <w:bottom w:val="nil"/>
              <w:right w:val="nil"/>
            </w:tcBorders>
          </w:tcPr>
          <w:p w14:paraId="65143D4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w:t>
            </w:r>
          </w:p>
        </w:tc>
        <w:tc>
          <w:tcPr>
            <w:tcW w:w="1866" w:type="dxa"/>
            <w:tcBorders>
              <w:top w:val="single" w:sz="4" w:space="0" w:color="auto"/>
              <w:left w:val="nil"/>
              <w:bottom w:val="nil"/>
              <w:right w:val="nil"/>
            </w:tcBorders>
          </w:tcPr>
          <w:p w14:paraId="54807AA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w:t>
            </w:r>
          </w:p>
        </w:tc>
      </w:tr>
      <w:tr w:rsidR="009E1D45" w14:paraId="371E7314" w14:textId="77777777" w:rsidTr="001019DE">
        <w:tc>
          <w:tcPr>
            <w:tcW w:w="3156" w:type="dxa"/>
            <w:tcBorders>
              <w:top w:val="nil"/>
              <w:left w:val="nil"/>
              <w:bottom w:val="nil"/>
              <w:right w:val="nil"/>
            </w:tcBorders>
          </w:tcPr>
          <w:p w14:paraId="775892A5"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866" w:type="dxa"/>
            <w:tcBorders>
              <w:top w:val="nil"/>
              <w:left w:val="nil"/>
              <w:bottom w:val="nil"/>
              <w:right w:val="nil"/>
            </w:tcBorders>
          </w:tcPr>
          <w:p w14:paraId="1BFEAA9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13E35D3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147BD23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6D3C232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r>
      <w:tr w:rsidR="009E1D45" w14:paraId="5DE34DEB" w14:textId="77777777" w:rsidTr="001019DE">
        <w:tc>
          <w:tcPr>
            <w:tcW w:w="3156" w:type="dxa"/>
            <w:tcBorders>
              <w:top w:val="single" w:sz="4" w:space="0" w:color="auto"/>
              <w:left w:val="nil"/>
              <w:bottom w:val="nil"/>
              <w:right w:val="nil"/>
            </w:tcBorders>
          </w:tcPr>
          <w:p w14:paraId="2631982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ACR</w:t>
            </w:r>
          </w:p>
        </w:tc>
        <w:tc>
          <w:tcPr>
            <w:tcW w:w="1866" w:type="dxa"/>
            <w:tcBorders>
              <w:top w:val="single" w:sz="4" w:space="0" w:color="auto"/>
              <w:left w:val="nil"/>
              <w:bottom w:val="nil"/>
              <w:right w:val="nil"/>
            </w:tcBorders>
          </w:tcPr>
          <w:p w14:paraId="57A74B3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315.480</w:t>
            </w:r>
            <w:r>
              <w:rPr>
                <w:rFonts w:ascii="Times New Roman" w:hAnsi="Times New Roman" w:cs="Times New Roman"/>
                <w:kern w:val="0"/>
                <w:vertAlign w:val="superscript"/>
              </w:rPr>
              <w:t>***</w:t>
            </w:r>
          </w:p>
        </w:tc>
        <w:tc>
          <w:tcPr>
            <w:tcW w:w="1866" w:type="dxa"/>
            <w:tcBorders>
              <w:top w:val="single" w:sz="4" w:space="0" w:color="auto"/>
              <w:left w:val="nil"/>
              <w:bottom w:val="nil"/>
              <w:right w:val="nil"/>
            </w:tcBorders>
          </w:tcPr>
          <w:p w14:paraId="47FC58A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376.556</w:t>
            </w:r>
            <w:r>
              <w:rPr>
                <w:rFonts w:ascii="Times New Roman" w:hAnsi="Times New Roman" w:cs="Times New Roman"/>
                <w:kern w:val="0"/>
                <w:vertAlign w:val="superscript"/>
              </w:rPr>
              <w:t>***</w:t>
            </w:r>
          </w:p>
        </w:tc>
        <w:tc>
          <w:tcPr>
            <w:tcW w:w="1866" w:type="dxa"/>
            <w:tcBorders>
              <w:top w:val="single" w:sz="4" w:space="0" w:color="auto"/>
              <w:left w:val="nil"/>
              <w:bottom w:val="nil"/>
              <w:right w:val="nil"/>
            </w:tcBorders>
          </w:tcPr>
          <w:p w14:paraId="36E23EA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268.464</w:t>
            </w:r>
            <w:r>
              <w:rPr>
                <w:rFonts w:ascii="Times New Roman" w:hAnsi="Times New Roman" w:cs="Times New Roman"/>
                <w:kern w:val="0"/>
                <w:vertAlign w:val="superscript"/>
              </w:rPr>
              <w:t>***</w:t>
            </w:r>
          </w:p>
        </w:tc>
        <w:tc>
          <w:tcPr>
            <w:tcW w:w="1866" w:type="dxa"/>
            <w:tcBorders>
              <w:top w:val="single" w:sz="4" w:space="0" w:color="auto"/>
              <w:left w:val="nil"/>
              <w:bottom w:val="nil"/>
              <w:right w:val="nil"/>
            </w:tcBorders>
          </w:tcPr>
          <w:p w14:paraId="2089B4A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283.091</w:t>
            </w:r>
            <w:r>
              <w:rPr>
                <w:rFonts w:ascii="Times New Roman" w:hAnsi="Times New Roman" w:cs="Times New Roman"/>
                <w:kern w:val="0"/>
                <w:vertAlign w:val="superscript"/>
              </w:rPr>
              <w:t>***</w:t>
            </w:r>
          </w:p>
        </w:tc>
      </w:tr>
      <w:tr w:rsidR="009E1D45" w14:paraId="3A8F1CB3" w14:textId="77777777" w:rsidTr="001019DE">
        <w:tc>
          <w:tcPr>
            <w:tcW w:w="3156" w:type="dxa"/>
            <w:tcBorders>
              <w:top w:val="nil"/>
              <w:left w:val="nil"/>
              <w:bottom w:val="nil"/>
              <w:right w:val="nil"/>
            </w:tcBorders>
          </w:tcPr>
          <w:p w14:paraId="74310A8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866" w:type="dxa"/>
            <w:tcBorders>
              <w:top w:val="nil"/>
              <w:left w:val="nil"/>
              <w:bottom w:val="nil"/>
              <w:right w:val="nil"/>
            </w:tcBorders>
          </w:tcPr>
          <w:p w14:paraId="186D0AC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(45.419)</w:t>
            </w:r>
          </w:p>
        </w:tc>
        <w:tc>
          <w:tcPr>
            <w:tcW w:w="1866" w:type="dxa"/>
            <w:tcBorders>
              <w:top w:val="nil"/>
              <w:left w:val="nil"/>
              <w:bottom w:val="nil"/>
              <w:right w:val="nil"/>
            </w:tcBorders>
          </w:tcPr>
          <w:p w14:paraId="2A4316D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(45.034)</w:t>
            </w:r>
          </w:p>
        </w:tc>
        <w:tc>
          <w:tcPr>
            <w:tcW w:w="1866" w:type="dxa"/>
            <w:tcBorders>
              <w:top w:val="nil"/>
              <w:left w:val="nil"/>
              <w:bottom w:val="nil"/>
              <w:right w:val="nil"/>
            </w:tcBorders>
          </w:tcPr>
          <w:p w14:paraId="6ACFDF7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(7.669)</w:t>
            </w:r>
          </w:p>
        </w:tc>
        <w:tc>
          <w:tcPr>
            <w:tcW w:w="1866" w:type="dxa"/>
            <w:tcBorders>
              <w:top w:val="nil"/>
              <w:left w:val="nil"/>
              <w:bottom w:val="nil"/>
              <w:right w:val="nil"/>
            </w:tcBorders>
          </w:tcPr>
          <w:p w14:paraId="43BCBC4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(19.848)</w:t>
            </w:r>
          </w:p>
        </w:tc>
      </w:tr>
      <w:tr w:rsidR="009E1D45" w14:paraId="69C6F494" w14:textId="77777777" w:rsidTr="001019DE">
        <w:tc>
          <w:tcPr>
            <w:tcW w:w="3156" w:type="dxa"/>
            <w:tcBorders>
              <w:top w:val="nil"/>
              <w:left w:val="nil"/>
              <w:bottom w:val="nil"/>
              <w:right w:val="nil"/>
            </w:tcBorders>
          </w:tcPr>
          <w:p w14:paraId="1F4CC803"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Female</w:t>
            </w:r>
          </w:p>
        </w:tc>
        <w:tc>
          <w:tcPr>
            <w:tcW w:w="1866" w:type="dxa"/>
            <w:tcBorders>
              <w:top w:val="nil"/>
              <w:left w:val="nil"/>
              <w:bottom w:val="nil"/>
              <w:right w:val="nil"/>
            </w:tcBorders>
          </w:tcPr>
          <w:p w14:paraId="5FA1CB6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5D05A7C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872.301</w:t>
            </w:r>
          </w:p>
        </w:tc>
        <w:tc>
          <w:tcPr>
            <w:tcW w:w="1866" w:type="dxa"/>
            <w:tcBorders>
              <w:top w:val="nil"/>
              <w:left w:val="nil"/>
              <w:bottom w:val="nil"/>
              <w:right w:val="nil"/>
            </w:tcBorders>
          </w:tcPr>
          <w:p w14:paraId="3D026A5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20B563E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748.876</w:t>
            </w:r>
          </w:p>
        </w:tc>
      </w:tr>
      <w:tr w:rsidR="009E1D45" w14:paraId="0BC00D0E" w14:textId="77777777" w:rsidTr="001019DE">
        <w:tc>
          <w:tcPr>
            <w:tcW w:w="3156" w:type="dxa"/>
            <w:tcBorders>
              <w:top w:val="nil"/>
              <w:left w:val="nil"/>
              <w:bottom w:val="nil"/>
              <w:right w:val="nil"/>
            </w:tcBorders>
          </w:tcPr>
          <w:p w14:paraId="10A1B32D"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866" w:type="dxa"/>
            <w:tcBorders>
              <w:top w:val="nil"/>
              <w:left w:val="nil"/>
              <w:bottom w:val="nil"/>
              <w:right w:val="nil"/>
            </w:tcBorders>
          </w:tcPr>
          <w:p w14:paraId="26637DE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51E27F8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(916.419)</w:t>
            </w:r>
          </w:p>
        </w:tc>
        <w:tc>
          <w:tcPr>
            <w:tcW w:w="1866" w:type="dxa"/>
            <w:tcBorders>
              <w:top w:val="nil"/>
              <w:left w:val="nil"/>
              <w:bottom w:val="nil"/>
              <w:right w:val="nil"/>
            </w:tcBorders>
          </w:tcPr>
          <w:p w14:paraId="7943521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26B1BD8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(1370.333)</w:t>
            </w:r>
          </w:p>
        </w:tc>
      </w:tr>
      <w:tr w:rsidR="009E1D45" w14:paraId="030BC6CD" w14:textId="77777777" w:rsidTr="001019DE">
        <w:tc>
          <w:tcPr>
            <w:tcW w:w="3156" w:type="dxa"/>
            <w:tcBorders>
              <w:top w:val="nil"/>
              <w:left w:val="nil"/>
              <w:bottom w:val="nil"/>
              <w:right w:val="nil"/>
            </w:tcBorders>
          </w:tcPr>
          <w:p w14:paraId="61C189F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w:t>
            </w:r>
            <w:proofErr w:type="gramStart"/>
            <w:r>
              <w:rPr>
                <w:rFonts w:ascii="Times New Roman" w:hAnsi="Times New Roman" w:cs="Times New Roman"/>
                <w:kern w:val="0"/>
              </w:rPr>
              <w:t>Non-White</w:t>
            </w:r>
            <w:proofErr w:type="gramEnd"/>
          </w:p>
        </w:tc>
        <w:tc>
          <w:tcPr>
            <w:tcW w:w="1866" w:type="dxa"/>
            <w:tcBorders>
              <w:top w:val="nil"/>
              <w:left w:val="nil"/>
              <w:bottom w:val="nil"/>
              <w:right w:val="nil"/>
            </w:tcBorders>
          </w:tcPr>
          <w:p w14:paraId="58D74F5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570C227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-284.259</w:t>
            </w:r>
          </w:p>
        </w:tc>
        <w:tc>
          <w:tcPr>
            <w:tcW w:w="1866" w:type="dxa"/>
            <w:tcBorders>
              <w:top w:val="nil"/>
              <w:left w:val="nil"/>
              <w:bottom w:val="nil"/>
              <w:right w:val="nil"/>
            </w:tcBorders>
          </w:tcPr>
          <w:p w14:paraId="0793D36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4D20EC0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-624.646</w:t>
            </w:r>
          </w:p>
        </w:tc>
      </w:tr>
      <w:tr w:rsidR="009E1D45" w14:paraId="7EB87D21" w14:textId="77777777" w:rsidTr="001019DE">
        <w:tc>
          <w:tcPr>
            <w:tcW w:w="3156" w:type="dxa"/>
            <w:tcBorders>
              <w:top w:val="nil"/>
              <w:left w:val="nil"/>
              <w:bottom w:val="nil"/>
              <w:right w:val="nil"/>
            </w:tcBorders>
          </w:tcPr>
          <w:p w14:paraId="75D65C6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866" w:type="dxa"/>
            <w:tcBorders>
              <w:top w:val="nil"/>
              <w:left w:val="nil"/>
              <w:bottom w:val="nil"/>
              <w:right w:val="nil"/>
            </w:tcBorders>
          </w:tcPr>
          <w:p w14:paraId="3BA46CA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2DEA511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(515.341)</w:t>
            </w:r>
          </w:p>
        </w:tc>
        <w:tc>
          <w:tcPr>
            <w:tcW w:w="1866" w:type="dxa"/>
            <w:tcBorders>
              <w:top w:val="nil"/>
              <w:left w:val="nil"/>
              <w:bottom w:val="nil"/>
              <w:right w:val="nil"/>
            </w:tcBorders>
          </w:tcPr>
          <w:p w14:paraId="1134A45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2B9142B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(628.436)</w:t>
            </w:r>
          </w:p>
        </w:tc>
      </w:tr>
      <w:tr w:rsidR="009E1D45" w14:paraId="67407542" w14:textId="77777777" w:rsidTr="001019DE">
        <w:tc>
          <w:tcPr>
            <w:tcW w:w="3156" w:type="dxa"/>
            <w:tcBorders>
              <w:top w:val="nil"/>
              <w:left w:val="nil"/>
              <w:bottom w:val="nil"/>
              <w:right w:val="nil"/>
            </w:tcBorders>
          </w:tcPr>
          <w:p w14:paraId="06A54C5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Econ. </w:t>
            </w:r>
            <w:proofErr w:type="spellStart"/>
            <w:r>
              <w:rPr>
                <w:rFonts w:ascii="Times New Roman" w:hAnsi="Times New Roman" w:cs="Times New Roman"/>
                <w:kern w:val="0"/>
              </w:rPr>
              <w:t>Disad</w:t>
            </w:r>
            <w:proofErr w:type="spellEnd"/>
            <w:r>
              <w:rPr>
                <w:rFonts w:ascii="Times New Roman" w:hAnsi="Times New Roman" w:cs="Times New Roman"/>
                <w:kern w:val="0"/>
              </w:rPr>
              <w:t>.</w:t>
            </w:r>
          </w:p>
        </w:tc>
        <w:tc>
          <w:tcPr>
            <w:tcW w:w="1866" w:type="dxa"/>
            <w:tcBorders>
              <w:top w:val="nil"/>
              <w:left w:val="nil"/>
              <w:bottom w:val="nil"/>
              <w:right w:val="nil"/>
            </w:tcBorders>
          </w:tcPr>
          <w:p w14:paraId="0E6F122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56184CD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-173.005</w:t>
            </w:r>
          </w:p>
        </w:tc>
        <w:tc>
          <w:tcPr>
            <w:tcW w:w="1866" w:type="dxa"/>
            <w:tcBorders>
              <w:top w:val="nil"/>
              <w:left w:val="nil"/>
              <w:bottom w:val="nil"/>
              <w:right w:val="nil"/>
            </w:tcBorders>
          </w:tcPr>
          <w:p w14:paraId="7D49AD4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0E8A35D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-106.664</w:t>
            </w:r>
          </w:p>
        </w:tc>
      </w:tr>
      <w:tr w:rsidR="009E1D45" w14:paraId="2759889F" w14:textId="77777777" w:rsidTr="001019DE">
        <w:tc>
          <w:tcPr>
            <w:tcW w:w="3156" w:type="dxa"/>
            <w:tcBorders>
              <w:top w:val="nil"/>
              <w:left w:val="nil"/>
              <w:bottom w:val="nil"/>
              <w:right w:val="nil"/>
            </w:tcBorders>
          </w:tcPr>
          <w:p w14:paraId="2EDF645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866" w:type="dxa"/>
            <w:tcBorders>
              <w:top w:val="nil"/>
              <w:left w:val="nil"/>
              <w:bottom w:val="nil"/>
              <w:right w:val="nil"/>
            </w:tcBorders>
          </w:tcPr>
          <w:p w14:paraId="4B19C8C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3739673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(205.443)</w:t>
            </w:r>
          </w:p>
        </w:tc>
        <w:tc>
          <w:tcPr>
            <w:tcW w:w="1866" w:type="dxa"/>
            <w:tcBorders>
              <w:top w:val="nil"/>
              <w:left w:val="nil"/>
              <w:bottom w:val="nil"/>
              <w:right w:val="nil"/>
            </w:tcBorders>
          </w:tcPr>
          <w:p w14:paraId="3038B34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0A422A3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(263.453)</w:t>
            </w:r>
          </w:p>
        </w:tc>
      </w:tr>
      <w:tr w:rsidR="009E1D45" w14:paraId="146ABE83" w14:textId="77777777" w:rsidTr="001019DE">
        <w:tc>
          <w:tcPr>
            <w:tcW w:w="3156" w:type="dxa"/>
            <w:tcBorders>
              <w:top w:val="nil"/>
              <w:left w:val="nil"/>
              <w:bottom w:val="nil"/>
              <w:right w:val="nil"/>
            </w:tcBorders>
          </w:tcPr>
          <w:p w14:paraId="30DB080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Special Education</w:t>
            </w:r>
          </w:p>
        </w:tc>
        <w:tc>
          <w:tcPr>
            <w:tcW w:w="1866" w:type="dxa"/>
            <w:tcBorders>
              <w:top w:val="nil"/>
              <w:left w:val="nil"/>
              <w:bottom w:val="nil"/>
              <w:right w:val="nil"/>
            </w:tcBorders>
          </w:tcPr>
          <w:p w14:paraId="5DD03E0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18E8569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948.957</w:t>
            </w:r>
            <w:r>
              <w:rPr>
                <w:rFonts w:ascii="Times New Roman" w:hAnsi="Times New Roman" w:cs="Times New Roman"/>
                <w:kern w:val="0"/>
                <w:vertAlign w:val="superscript"/>
              </w:rPr>
              <w:t>*</w:t>
            </w:r>
          </w:p>
        </w:tc>
        <w:tc>
          <w:tcPr>
            <w:tcW w:w="1866" w:type="dxa"/>
            <w:tcBorders>
              <w:top w:val="nil"/>
              <w:left w:val="nil"/>
              <w:bottom w:val="nil"/>
              <w:right w:val="nil"/>
            </w:tcBorders>
          </w:tcPr>
          <w:p w14:paraId="244E42E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6969A1A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1241.434</w:t>
            </w:r>
            <w:r>
              <w:rPr>
                <w:rFonts w:ascii="Times New Roman" w:hAnsi="Times New Roman" w:cs="Times New Roman"/>
                <w:kern w:val="0"/>
                <w:vertAlign w:val="superscript"/>
              </w:rPr>
              <w:t>*</w:t>
            </w:r>
          </w:p>
        </w:tc>
      </w:tr>
      <w:tr w:rsidR="009E1D45" w14:paraId="58D4E20D" w14:textId="77777777" w:rsidTr="001019DE">
        <w:tc>
          <w:tcPr>
            <w:tcW w:w="3156" w:type="dxa"/>
            <w:tcBorders>
              <w:top w:val="nil"/>
              <w:left w:val="nil"/>
              <w:bottom w:val="nil"/>
              <w:right w:val="nil"/>
            </w:tcBorders>
          </w:tcPr>
          <w:p w14:paraId="5E1B685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866" w:type="dxa"/>
            <w:tcBorders>
              <w:top w:val="nil"/>
              <w:left w:val="nil"/>
              <w:bottom w:val="nil"/>
              <w:right w:val="nil"/>
            </w:tcBorders>
          </w:tcPr>
          <w:p w14:paraId="5C7E35F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70E8D0D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(470.093)</w:t>
            </w:r>
          </w:p>
        </w:tc>
        <w:tc>
          <w:tcPr>
            <w:tcW w:w="1866" w:type="dxa"/>
            <w:tcBorders>
              <w:top w:val="nil"/>
              <w:left w:val="nil"/>
              <w:bottom w:val="nil"/>
              <w:right w:val="nil"/>
            </w:tcBorders>
          </w:tcPr>
          <w:p w14:paraId="2EA1BED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0E2266F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(617.691)</w:t>
            </w:r>
          </w:p>
        </w:tc>
      </w:tr>
      <w:tr w:rsidR="009E1D45" w14:paraId="039355F7" w14:textId="77777777" w:rsidTr="001019DE">
        <w:tc>
          <w:tcPr>
            <w:tcW w:w="3156" w:type="dxa"/>
            <w:tcBorders>
              <w:top w:val="nil"/>
              <w:left w:val="nil"/>
              <w:bottom w:val="nil"/>
              <w:right w:val="nil"/>
            </w:tcBorders>
          </w:tcPr>
          <w:p w14:paraId="79F1022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Log ISD Enrollment</w:t>
            </w:r>
          </w:p>
        </w:tc>
        <w:tc>
          <w:tcPr>
            <w:tcW w:w="1866" w:type="dxa"/>
            <w:tcBorders>
              <w:top w:val="nil"/>
              <w:left w:val="nil"/>
              <w:bottom w:val="nil"/>
              <w:right w:val="nil"/>
            </w:tcBorders>
          </w:tcPr>
          <w:p w14:paraId="2DEBC46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48DA1BB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-629.504</w:t>
            </w:r>
            <w:r>
              <w:rPr>
                <w:rFonts w:ascii="Times New Roman" w:hAnsi="Times New Roman" w:cs="Times New Roman"/>
                <w:kern w:val="0"/>
                <w:vertAlign w:val="superscript"/>
              </w:rPr>
              <w:t>***</w:t>
            </w:r>
          </w:p>
        </w:tc>
        <w:tc>
          <w:tcPr>
            <w:tcW w:w="1866" w:type="dxa"/>
            <w:tcBorders>
              <w:top w:val="nil"/>
              <w:left w:val="nil"/>
              <w:bottom w:val="nil"/>
              <w:right w:val="nil"/>
            </w:tcBorders>
          </w:tcPr>
          <w:p w14:paraId="7265870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nil"/>
              <w:right w:val="nil"/>
            </w:tcBorders>
          </w:tcPr>
          <w:p w14:paraId="3BFA120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-573.134</w:t>
            </w:r>
            <w:r>
              <w:rPr>
                <w:rFonts w:ascii="Times New Roman" w:hAnsi="Times New Roman" w:cs="Times New Roman"/>
                <w:kern w:val="0"/>
                <w:vertAlign w:val="superscript"/>
              </w:rPr>
              <w:t>**</w:t>
            </w:r>
          </w:p>
        </w:tc>
      </w:tr>
      <w:tr w:rsidR="009E1D45" w14:paraId="1BB59214" w14:textId="77777777" w:rsidTr="001019DE">
        <w:tc>
          <w:tcPr>
            <w:tcW w:w="3156" w:type="dxa"/>
            <w:tcBorders>
              <w:top w:val="nil"/>
              <w:left w:val="nil"/>
              <w:bottom w:val="single" w:sz="4" w:space="0" w:color="auto"/>
              <w:right w:val="nil"/>
            </w:tcBorders>
          </w:tcPr>
          <w:p w14:paraId="4655A505"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866" w:type="dxa"/>
            <w:tcBorders>
              <w:top w:val="nil"/>
              <w:left w:val="nil"/>
              <w:bottom w:val="single" w:sz="4" w:space="0" w:color="auto"/>
              <w:right w:val="nil"/>
            </w:tcBorders>
          </w:tcPr>
          <w:p w14:paraId="5EA884C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single" w:sz="4" w:space="0" w:color="auto"/>
              <w:right w:val="nil"/>
            </w:tcBorders>
          </w:tcPr>
          <w:p w14:paraId="01FBEAC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(137.586)</w:t>
            </w:r>
          </w:p>
        </w:tc>
        <w:tc>
          <w:tcPr>
            <w:tcW w:w="1866" w:type="dxa"/>
            <w:tcBorders>
              <w:top w:val="nil"/>
              <w:left w:val="nil"/>
              <w:bottom w:val="single" w:sz="4" w:space="0" w:color="auto"/>
              <w:right w:val="nil"/>
            </w:tcBorders>
          </w:tcPr>
          <w:p w14:paraId="386B2F4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p>
        </w:tc>
        <w:tc>
          <w:tcPr>
            <w:tcW w:w="1866" w:type="dxa"/>
            <w:tcBorders>
              <w:top w:val="nil"/>
              <w:left w:val="nil"/>
              <w:bottom w:val="single" w:sz="4" w:space="0" w:color="auto"/>
              <w:right w:val="nil"/>
            </w:tcBorders>
          </w:tcPr>
          <w:p w14:paraId="0302C11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(227.944)</w:t>
            </w:r>
          </w:p>
        </w:tc>
      </w:tr>
      <w:tr w:rsidR="009E1D45" w14:paraId="35B3B156" w14:textId="77777777" w:rsidTr="001019DE">
        <w:tc>
          <w:tcPr>
            <w:tcW w:w="3156" w:type="dxa"/>
            <w:tcBorders>
              <w:top w:val="single" w:sz="4" w:space="0" w:color="auto"/>
              <w:left w:val="nil"/>
              <w:right w:val="nil"/>
            </w:tcBorders>
          </w:tcPr>
          <w:p w14:paraId="1FB1C823"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Millage Rate Functional Form</w:t>
            </w:r>
          </w:p>
        </w:tc>
        <w:tc>
          <w:tcPr>
            <w:tcW w:w="1866" w:type="dxa"/>
            <w:tcBorders>
              <w:top w:val="single" w:sz="4" w:space="0" w:color="auto"/>
              <w:left w:val="nil"/>
              <w:right w:val="nil"/>
            </w:tcBorders>
          </w:tcPr>
          <w:p w14:paraId="02579A0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Linear</w:t>
            </w:r>
          </w:p>
        </w:tc>
        <w:tc>
          <w:tcPr>
            <w:tcW w:w="1866" w:type="dxa"/>
            <w:tcBorders>
              <w:top w:val="single" w:sz="4" w:space="0" w:color="auto"/>
              <w:left w:val="nil"/>
              <w:right w:val="nil"/>
            </w:tcBorders>
          </w:tcPr>
          <w:p w14:paraId="75BD5BB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Linear</w:t>
            </w:r>
          </w:p>
        </w:tc>
        <w:tc>
          <w:tcPr>
            <w:tcW w:w="1866" w:type="dxa"/>
            <w:tcBorders>
              <w:top w:val="single" w:sz="4" w:space="0" w:color="auto"/>
              <w:left w:val="nil"/>
              <w:right w:val="nil"/>
            </w:tcBorders>
          </w:tcPr>
          <w:p w14:paraId="7C74F69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Quadratic</w:t>
            </w:r>
          </w:p>
        </w:tc>
        <w:tc>
          <w:tcPr>
            <w:tcW w:w="1866" w:type="dxa"/>
            <w:tcBorders>
              <w:top w:val="single" w:sz="4" w:space="0" w:color="auto"/>
              <w:left w:val="nil"/>
              <w:right w:val="nil"/>
            </w:tcBorders>
          </w:tcPr>
          <w:p w14:paraId="2E23FD2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Quadratic</w:t>
            </w:r>
          </w:p>
        </w:tc>
      </w:tr>
      <w:tr w:rsidR="009E1D45" w14:paraId="3E807978" w14:textId="77777777" w:rsidTr="001019DE">
        <w:tc>
          <w:tcPr>
            <w:tcW w:w="3156" w:type="dxa"/>
            <w:tcBorders>
              <w:left w:val="nil"/>
              <w:bottom w:val="single" w:sz="4" w:space="0" w:color="auto"/>
              <w:right w:val="nil"/>
            </w:tcBorders>
          </w:tcPr>
          <w:p w14:paraId="49A706D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Observations</w:t>
            </w:r>
          </w:p>
        </w:tc>
        <w:tc>
          <w:tcPr>
            <w:tcW w:w="1866" w:type="dxa"/>
            <w:tcBorders>
              <w:left w:val="nil"/>
              <w:bottom w:val="single" w:sz="4" w:space="0" w:color="auto"/>
              <w:right w:val="nil"/>
            </w:tcBorders>
          </w:tcPr>
          <w:p w14:paraId="27BEFED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c>
          <w:tcPr>
            <w:tcW w:w="1866" w:type="dxa"/>
            <w:tcBorders>
              <w:left w:val="nil"/>
              <w:bottom w:val="single" w:sz="4" w:space="0" w:color="auto"/>
              <w:right w:val="nil"/>
            </w:tcBorders>
          </w:tcPr>
          <w:p w14:paraId="65442F1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c>
          <w:tcPr>
            <w:tcW w:w="1866" w:type="dxa"/>
            <w:tcBorders>
              <w:left w:val="nil"/>
              <w:bottom w:val="single" w:sz="4" w:space="0" w:color="auto"/>
              <w:right w:val="nil"/>
            </w:tcBorders>
          </w:tcPr>
          <w:p w14:paraId="03CE5D4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643</w:t>
            </w:r>
          </w:p>
        </w:tc>
        <w:tc>
          <w:tcPr>
            <w:tcW w:w="1866" w:type="dxa"/>
            <w:tcBorders>
              <w:left w:val="nil"/>
              <w:bottom w:val="single" w:sz="4" w:space="0" w:color="auto"/>
              <w:right w:val="nil"/>
            </w:tcBorders>
          </w:tcPr>
          <w:p w14:paraId="1EDDCFF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643</w:t>
            </w:r>
          </w:p>
        </w:tc>
      </w:tr>
    </w:tbl>
    <w:p w14:paraId="61C0CDA7"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Average causal response estimates from Equation (1) aggregated using the weighted average of estimates in Equation (2). Dosage represents a continuous measure of the increase in the millage of the special education property tax in each ISD. Columns (1) and (2) present estimates from models with the dosage in a linear functional form, and columns (3) and (4) present models with a quadratic functional form. All standard errors clustered at the ISD-level and unconditional on covariates.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0.1,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0.05,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0.01</w:t>
      </w:r>
    </w:p>
    <w:p w14:paraId="3C9E7070" w14:textId="77777777" w:rsidR="009E1D45" w:rsidRPr="00650604" w:rsidRDefault="009E1D45" w:rsidP="009E1D45">
      <w:pPr>
        <w:spacing w:after="0" w:line="240" w:lineRule="auto"/>
        <w:rPr>
          <w:rFonts w:ascii="Times New Roman" w:hAnsi="Times New Roman" w:cs="Times New Roman"/>
          <w:b/>
          <w:bCs/>
          <w:sz w:val="22"/>
          <w:szCs w:val="22"/>
        </w:rPr>
      </w:pPr>
    </w:p>
    <w:p w14:paraId="254C3A54" w14:textId="77777777" w:rsidR="009E1D45" w:rsidRPr="00667704" w:rsidRDefault="009E1D45" w:rsidP="009E1D45">
      <w:pPr>
        <w:rPr>
          <w:rFonts w:ascii="Times New Roman" w:hAnsi="Times New Roman" w:cs="Times New Roman"/>
        </w:rPr>
      </w:pPr>
    </w:p>
    <w:p w14:paraId="7866607C" w14:textId="77777777" w:rsidR="009E1D45" w:rsidRPr="00667704" w:rsidRDefault="009E1D45" w:rsidP="009E1D45">
      <w:pPr>
        <w:rPr>
          <w:rFonts w:ascii="Times New Roman" w:hAnsi="Times New Roman" w:cs="Times New Roman"/>
        </w:rPr>
      </w:pPr>
    </w:p>
    <w:p w14:paraId="0A906930" w14:textId="77777777" w:rsidR="009E1D45" w:rsidRDefault="009E1D45" w:rsidP="009E1D45">
      <w:pPr>
        <w:rPr>
          <w:rFonts w:ascii="Times New Roman" w:hAnsi="Times New Roman" w:cs="Times New Roman"/>
        </w:rPr>
      </w:pPr>
    </w:p>
    <w:p w14:paraId="61201EBE" w14:textId="77777777" w:rsidR="009E1D45" w:rsidRDefault="009E1D45" w:rsidP="009E1D45">
      <w:pPr>
        <w:rPr>
          <w:rFonts w:ascii="Times New Roman" w:hAnsi="Times New Roman" w:cs="Times New Roman"/>
        </w:rPr>
      </w:pPr>
    </w:p>
    <w:p w14:paraId="284843BB" w14:textId="77777777" w:rsidR="009E1D45" w:rsidRDefault="009E1D45" w:rsidP="009E1D45">
      <w:pPr>
        <w:rPr>
          <w:rFonts w:ascii="Times New Roman" w:hAnsi="Times New Roman" w:cs="Times New Roman"/>
        </w:rPr>
      </w:pPr>
    </w:p>
    <w:p w14:paraId="775B1534" w14:textId="77777777" w:rsidR="009E1D45" w:rsidRDefault="009E1D45" w:rsidP="009E1D45">
      <w:pPr>
        <w:rPr>
          <w:rFonts w:ascii="Times New Roman" w:hAnsi="Times New Roman" w:cs="Times New Roman"/>
        </w:rPr>
      </w:pPr>
    </w:p>
    <w:p w14:paraId="7C495589" w14:textId="77777777" w:rsidR="009E1D45" w:rsidRDefault="009E1D45" w:rsidP="009E1D45">
      <w:pPr>
        <w:rPr>
          <w:rFonts w:ascii="Times New Roman" w:hAnsi="Times New Roman" w:cs="Times New Roman"/>
        </w:rPr>
      </w:pPr>
    </w:p>
    <w:p w14:paraId="24636D52" w14:textId="77777777" w:rsidR="009E1D45" w:rsidRDefault="009E1D45" w:rsidP="009E1D45">
      <w:pPr>
        <w:rPr>
          <w:rFonts w:ascii="Times New Roman" w:hAnsi="Times New Roman" w:cs="Times New Roman"/>
        </w:rPr>
      </w:pPr>
    </w:p>
    <w:p w14:paraId="1565A2B5" w14:textId="77777777" w:rsidR="009E1D45" w:rsidRDefault="009E1D45" w:rsidP="009E1D45">
      <w:pPr>
        <w:rPr>
          <w:rFonts w:ascii="Times New Roman" w:hAnsi="Times New Roman" w:cs="Times New Roman"/>
        </w:rPr>
      </w:pPr>
    </w:p>
    <w:p w14:paraId="771FAAE7" w14:textId="77777777" w:rsidR="009E1D45" w:rsidRDefault="009E1D45" w:rsidP="009E1D45">
      <w:pPr>
        <w:rPr>
          <w:rFonts w:ascii="Times New Roman" w:hAnsi="Times New Roman" w:cs="Times New Roman"/>
        </w:rPr>
      </w:pPr>
    </w:p>
    <w:p w14:paraId="14EC661E" w14:textId="77777777" w:rsidR="009E1D45" w:rsidRDefault="009E1D45" w:rsidP="009E1D45">
      <w:pPr>
        <w:rPr>
          <w:rFonts w:ascii="Times New Roman" w:hAnsi="Times New Roman" w:cs="Times New Roman"/>
        </w:rPr>
      </w:pPr>
    </w:p>
    <w:p w14:paraId="4C164CA9" w14:textId="77777777" w:rsidR="009E1D45" w:rsidRDefault="009E1D45" w:rsidP="009E1D45">
      <w:pPr>
        <w:rPr>
          <w:rFonts w:ascii="Times New Roman" w:hAnsi="Times New Roman" w:cs="Times New Roman"/>
        </w:rPr>
      </w:pPr>
    </w:p>
    <w:p w14:paraId="0E87DF57" w14:textId="77777777" w:rsidR="009E1D45" w:rsidRDefault="009E1D45" w:rsidP="009E1D45">
      <w:pPr>
        <w:rPr>
          <w:rFonts w:ascii="Times New Roman" w:hAnsi="Times New Roman" w:cs="Times New Roman"/>
        </w:rPr>
      </w:pPr>
    </w:p>
    <w:p w14:paraId="0D8FCE52" w14:textId="77777777" w:rsidR="009E1D45" w:rsidRPr="006F73E5" w:rsidRDefault="009E1D45" w:rsidP="009E1D45">
      <w:pPr>
        <w:jc w:val="center"/>
        <w:rPr>
          <w:rFonts w:ascii="Times New Roman" w:hAnsi="Times New Roman" w:cs="Times New Roman"/>
          <w:b/>
          <w:bCs/>
        </w:rPr>
      </w:pPr>
      <w:r w:rsidRPr="00DC52DF">
        <w:rPr>
          <w:rFonts w:ascii="Times New Roman" w:hAnsi="Times New Roman" w:cs="Times New Roman"/>
          <w:b/>
          <w:bCs/>
        </w:rPr>
        <w:lastRenderedPageBreak/>
        <w:t xml:space="preserve">Figure </w:t>
      </w:r>
      <w:r>
        <w:rPr>
          <w:rFonts w:ascii="Times New Roman" w:hAnsi="Times New Roman" w:cs="Times New Roman"/>
          <w:b/>
          <w:bCs/>
        </w:rPr>
        <w:t>5</w:t>
      </w:r>
      <w:r w:rsidRPr="00DC52DF">
        <w:rPr>
          <w:rFonts w:ascii="Times New Roman" w:hAnsi="Times New Roman" w:cs="Times New Roman"/>
          <w:b/>
          <w:bCs/>
        </w:rPr>
        <w:t>: Event Stud</w:t>
      </w:r>
      <w:r>
        <w:rPr>
          <w:rFonts w:ascii="Times New Roman" w:hAnsi="Times New Roman" w:cs="Times New Roman"/>
          <w:b/>
          <w:bCs/>
        </w:rPr>
        <w:t>y</w:t>
      </w:r>
      <w:r w:rsidRPr="00DC52DF">
        <w:rPr>
          <w:rFonts w:ascii="Times New Roman" w:hAnsi="Times New Roman" w:cs="Times New Roman"/>
          <w:b/>
          <w:bCs/>
        </w:rPr>
        <w:t xml:space="preserve"> of </w:t>
      </w:r>
      <w:r>
        <w:rPr>
          <w:rFonts w:ascii="Times New Roman" w:hAnsi="Times New Roman" w:cs="Times New Roman"/>
          <w:b/>
          <w:bCs/>
        </w:rPr>
        <w:t xml:space="preserve">ISD-Level </w:t>
      </w:r>
      <w:r w:rsidRPr="00DC52DF">
        <w:rPr>
          <w:rFonts w:ascii="Times New Roman" w:hAnsi="Times New Roman" w:cs="Times New Roman"/>
          <w:b/>
          <w:bCs/>
        </w:rPr>
        <w:t xml:space="preserve">Per Pupil </w:t>
      </w:r>
      <w:r>
        <w:rPr>
          <w:rFonts w:ascii="Times New Roman" w:hAnsi="Times New Roman" w:cs="Times New Roman"/>
          <w:b/>
          <w:bCs/>
        </w:rPr>
        <w:t xml:space="preserve">Local Revenues for </w:t>
      </w:r>
      <w:r w:rsidRPr="00DC52DF">
        <w:rPr>
          <w:rFonts w:ascii="Times New Roman" w:hAnsi="Times New Roman" w:cs="Times New Roman"/>
          <w:b/>
          <w:bCs/>
        </w:rPr>
        <w:t>Special Education</w:t>
      </w:r>
      <w:r>
        <w:rPr>
          <w:rFonts w:ascii="Times New Roman" w:hAnsi="Times New Roman" w:cs="Times New Roman"/>
          <w:b/>
          <w:bCs/>
        </w:rPr>
        <w:t xml:space="preserve"> following Earmarked Property Tax Increases</w:t>
      </w:r>
      <w:r>
        <w:rPr>
          <w:rFonts w:ascii="Times New Roman" w:hAnsi="Times New Roman" w:cs="Times New Roman"/>
          <w:b/>
          <w:bCs/>
          <w:noProof/>
        </w:rPr>
        <w:drawing>
          <wp:inline distT="0" distB="0" distL="0" distR="0" wp14:anchorId="7C484380" wp14:editId="52ED0F31">
            <wp:extent cx="5943600" cy="2967355"/>
            <wp:effectExtent l="0" t="0" r="0" b="4445"/>
            <wp:docPr id="1015863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6355" name="Picture 101586355"/>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60EADEBA"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Notes</w:t>
      </w:r>
      <w:r>
        <w:rPr>
          <w:rFonts w:ascii="Times New Roman" w:hAnsi="Times New Roman" w:cs="Times New Roman"/>
          <w:i/>
          <w:iCs/>
          <w:sz w:val="20"/>
          <w:szCs w:val="20"/>
        </w:rPr>
        <w:t>: Event study estimates and 95% confidence intervals of the effects of local property tax increases on ISD-level special education revenues from Equation (3). This model uses a linear functional form for the dosage of treatment and includes all covariates. All standard errors clustered at the ISD-level and unconditional on covariates.</w:t>
      </w:r>
    </w:p>
    <w:p w14:paraId="2D6F7597" w14:textId="77777777" w:rsidR="009E1D45" w:rsidRDefault="009E1D45" w:rsidP="009E1D45">
      <w:pPr>
        <w:rPr>
          <w:rFonts w:ascii="Times New Roman" w:hAnsi="Times New Roman" w:cs="Times New Roman"/>
        </w:rPr>
      </w:pPr>
    </w:p>
    <w:p w14:paraId="27FEEA8A" w14:textId="77777777" w:rsidR="009E1D45" w:rsidRDefault="009E1D45" w:rsidP="009E1D45">
      <w:pPr>
        <w:rPr>
          <w:rFonts w:ascii="Times New Roman" w:hAnsi="Times New Roman" w:cs="Times New Roman"/>
        </w:rPr>
      </w:pPr>
    </w:p>
    <w:p w14:paraId="79786AF3" w14:textId="77777777" w:rsidR="009E1D45" w:rsidRDefault="009E1D45" w:rsidP="009E1D45">
      <w:pPr>
        <w:rPr>
          <w:rFonts w:ascii="Times New Roman" w:hAnsi="Times New Roman" w:cs="Times New Roman"/>
        </w:rPr>
      </w:pPr>
    </w:p>
    <w:p w14:paraId="1BABDCAC" w14:textId="77777777" w:rsidR="009E1D45" w:rsidRDefault="009E1D45" w:rsidP="009E1D45">
      <w:pPr>
        <w:rPr>
          <w:rFonts w:ascii="Times New Roman" w:hAnsi="Times New Roman" w:cs="Times New Roman"/>
        </w:rPr>
        <w:sectPr w:rsidR="009E1D45" w:rsidSect="009E1D45">
          <w:pgSz w:w="12240" w:h="15840"/>
          <w:pgMar w:top="1440" w:right="1440" w:bottom="1440" w:left="1440" w:header="720" w:footer="720" w:gutter="0"/>
          <w:cols w:space="720"/>
          <w:docGrid w:linePitch="360"/>
        </w:sectPr>
      </w:pPr>
    </w:p>
    <w:p w14:paraId="2B3D77A5" w14:textId="77777777" w:rsidR="009E1D45" w:rsidRDefault="009E1D45" w:rsidP="009E1D45">
      <w:pPr>
        <w:jc w:val="center"/>
        <w:rPr>
          <w:rFonts w:ascii="Times New Roman" w:hAnsi="Times New Roman" w:cs="Times New Roman"/>
          <w:b/>
          <w:bCs/>
        </w:rPr>
      </w:pPr>
      <w:r>
        <w:rPr>
          <w:rFonts w:ascii="Times New Roman" w:hAnsi="Times New Roman" w:cs="Times New Roman"/>
          <w:b/>
          <w:bCs/>
        </w:rPr>
        <w:lastRenderedPageBreak/>
        <w:t xml:space="preserve">Table 3: Robustness of </w:t>
      </w:r>
      <w:r w:rsidRPr="00667704">
        <w:rPr>
          <w:rFonts w:ascii="Times New Roman" w:hAnsi="Times New Roman" w:cs="Times New Roman"/>
          <w:b/>
          <w:bCs/>
        </w:rPr>
        <w:t xml:space="preserve">Average Causal Response of </w:t>
      </w:r>
      <w:r>
        <w:rPr>
          <w:rFonts w:ascii="Times New Roman" w:hAnsi="Times New Roman" w:cs="Times New Roman"/>
          <w:b/>
          <w:bCs/>
        </w:rPr>
        <w:t xml:space="preserve">ISD-Level </w:t>
      </w:r>
      <w:r w:rsidRPr="00667704">
        <w:rPr>
          <w:rFonts w:ascii="Times New Roman" w:hAnsi="Times New Roman" w:cs="Times New Roman"/>
          <w:b/>
          <w:bCs/>
        </w:rPr>
        <w:t xml:space="preserve">Local Per-Pupil Special Education Revenues following </w:t>
      </w:r>
      <w:r>
        <w:rPr>
          <w:rFonts w:ascii="Times New Roman" w:hAnsi="Times New Roman" w:cs="Times New Roman"/>
          <w:b/>
          <w:bCs/>
        </w:rPr>
        <w:t>Earmarked Property Tax</w:t>
      </w:r>
      <w:r w:rsidRPr="00667704">
        <w:rPr>
          <w:rFonts w:ascii="Times New Roman" w:hAnsi="Times New Roman" w:cs="Times New Roman"/>
          <w:b/>
          <w:bCs/>
        </w:rPr>
        <w:t xml:space="preserve"> Increase</w:t>
      </w:r>
      <w:r>
        <w:rPr>
          <w:rFonts w:ascii="Times New Roman" w:hAnsi="Times New Roman" w:cs="Times New Roman"/>
          <w:b/>
          <w:bCs/>
        </w:rPr>
        <w:t>s</w:t>
      </w:r>
    </w:p>
    <w:tbl>
      <w:tblPr>
        <w:tblStyle w:val="TableGrid"/>
        <w:tblW w:w="154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236"/>
        <w:gridCol w:w="1236"/>
        <w:gridCol w:w="1283"/>
        <w:gridCol w:w="1243"/>
        <w:gridCol w:w="1236"/>
        <w:gridCol w:w="1236"/>
        <w:gridCol w:w="1236"/>
        <w:gridCol w:w="1236"/>
        <w:gridCol w:w="1236"/>
        <w:gridCol w:w="1194"/>
        <w:gridCol w:w="1236"/>
      </w:tblGrid>
      <w:tr w:rsidR="009E1D45" w:rsidRPr="007D1576" w14:paraId="59822E20" w14:textId="77777777" w:rsidTr="001019DE">
        <w:trPr>
          <w:trHeight w:val="236"/>
          <w:jc w:val="center"/>
        </w:trPr>
        <w:tc>
          <w:tcPr>
            <w:tcW w:w="1872" w:type="dxa"/>
            <w:tcBorders>
              <w:top w:val="single" w:sz="4" w:space="0" w:color="auto"/>
            </w:tcBorders>
          </w:tcPr>
          <w:p w14:paraId="7023C184" w14:textId="77777777" w:rsidR="009E1D45" w:rsidRPr="007D1576" w:rsidRDefault="009E1D45" w:rsidP="001019DE">
            <w:pPr>
              <w:jc w:val="center"/>
              <w:rPr>
                <w:rFonts w:ascii="Times New Roman" w:hAnsi="Times New Roman" w:cs="Times New Roman"/>
              </w:rPr>
            </w:pPr>
          </w:p>
        </w:tc>
        <w:tc>
          <w:tcPr>
            <w:tcW w:w="1236" w:type="dxa"/>
            <w:tcBorders>
              <w:top w:val="single" w:sz="4" w:space="0" w:color="auto"/>
            </w:tcBorders>
          </w:tcPr>
          <w:p w14:paraId="26C3D738"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(1)</w:t>
            </w:r>
          </w:p>
        </w:tc>
        <w:tc>
          <w:tcPr>
            <w:tcW w:w="1236" w:type="dxa"/>
            <w:tcBorders>
              <w:top w:val="single" w:sz="4" w:space="0" w:color="auto"/>
            </w:tcBorders>
          </w:tcPr>
          <w:p w14:paraId="42245955" w14:textId="77777777" w:rsidR="009E1D45" w:rsidRDefault="009E1D45" w:rsidP="001019DE">
            <w:pPr>
              <w:jc w:val="center"/>
              <w:rPr>
                <w:rFonts w:ascii="Times New Roman" w:hAnsi="Times New Roman" w:cs="Times New Roman"/>
              </w:rPr>
            </w:pPr>
            <w:r>
              <w:rPr>
                <w:rFonts w:ascii="Times New Roman" w:hAnsi="Times New Roman" w:cs="Times New Roman"/>
              </w:rPr>
              <w:t>(2)</w:t>
            </w:r>
          </w:p>
        </w:tc>
        <w:tc>
          <w:tcPr>
            <w:tcW w:w="1283" w:type="dxa"/>
            <w:tcBorders>
              <w:top w:val="single" w:sz="4" w:space="0" w:color="auto"/>
            </w:tcBorders>
          </w:tcPr>
          <w:p w14:paraId="0783F17E" w14:textId="77777777" w:rsidR="009E1D45" w:rsidRDefault="009E1D45" w:rsidP="001019DE">
            <w:pPr>
              <w:jc w:val="center"/>
              <w:rPr>
                <w:rFonts w:ascii="Times New Roman" w:hAnsi="Times New Roman" w:cs="Times New Roman"/>
              </w:rPr>
            </w:pPr>
            <w:r>
              <w:rPr>
                <w:rFonts w:ascii="Times New Roman" w:hAnsi="Times New Roman" w:cs="Times New Roman"/>
              </w:rPr>
              <w:t>(3)</w:t>
            </w:r>
          </w:p>
        </w:tc>
        <w:tc>
          <w:tcPr>
            <w:tcW w:w="1243" w:type="dxa"/>
            <w:tcBorders>
              <w:top w:val="single" w:sz="4" w:space="0" w:color="auto"/>
            </w:tcBorders>
          </w:tcPr>
          <w:p w14:paraId="6BD4198E" w14:textId="77777777" w:rsidR="009E1D45" w:rsidRDefault="009E1D45" w:rsidP="001019DE">
            <w:pPr>
              <w:jc w:val="center"/>
              <w:rPr>
                <w:rFonts w:ascii="Times New Roman" w:hAnsi="Times New Roman" w:cs="Times New Roman"/>
              </w:rPr>
            </w:pPr>
            <w:r>
              <w:rPr>
                <w:rFonts w:ascii="Times New Roman" w:hAnsi="Times New Roman" w:cs="Times New Roman"/>
              </w:rPr>
              <w:t>(4)</w:t>
            </w:r>
          </w:p>
        </w:tc>
        <w:tc>
          <w:tcPr>
            <w:tcW w:w="1236" w:type="dxa"/>
            <w:tcBorders>
              <w:top w:val="single" w:sz="4" w:space="0" w:color="auto"/>
            </w:tcBorders>
          </w:tcPr>
          <w:p w14:paraId="42E551EC" w14:textId="77777777" w:rsidR="009E1D45" w:rsidRDefault="009E1D45" w:rsidP="001019DE">
            <w:pPr>
              <w:jc w:val="center"/>
              <w:rPr>
                <w:rFonts w:ascii="Times New Roman" w:hAnsi="Times New Roman" w:cs="Times New Roman"/>
              </w:rPr>
            </w:pPr>
            <w:r>
              <w:rPr>
                <w:rFonts w:ascii="Times New Roman" w:hAnsi="Times New Roman" w:cs="Times New Roman"/>
              </w:rPr>
              <w:t>(5)</w:t>
            </w:r>
          </w:p>
        </w:tc>
        <w:tc>
          <w:tcPr>
            <w:tcW w:w="1236" w:type="dxa"/>
            <w:tcBorders>
              <w:top w:val="single" w:sz="4" w:space="0" w:color="auto"/>
            </w:tcBorders>
          </w:tcPr>
          <w:p w14:paraId="7284B5CE"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(6)</w:t>
            </w:r>
          </w:p>
        </w:tc>
        <w:tc>
          <w:tcPr>
            <w:tcW w:w="1236" w:type="dxa"/>
            <w:tcBorders>
              <w:top w:val="single" w:sz="4" w:space="0" w:color="auto"/>
            </w:tcBorders>
          </w:tcPr>
          <w:p w14:paraId="683F8F54"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(7)</w:t>
            </w:r>
          </w:p>
        </w:tc>
        <w:tc>
          <w:tcPr>
            <w:tcW w:w="1236" w:type="dxa"/>
            <w:tcBorders>
              <w:top w:val="single" w:sz="4" w:space="0" w:color="auto"/>
            </w:tcBorders>
          </w:tcPr>
          <w:p w14:paraId="696A6E24" w14:textId="77777777" w:rsidR="009E1D45" w:rsidRDefault="009E1D45" w:rsidP="001019DE">
            <w:pPr>
              <w:jc w:val="center"/>
              <w:rPr>
                <w:rFonts w:ascii="Times New Roman" w:hAnsi="Times New Roman" w:cs="Times New Roman"/>
              </w:rPr>
            </w:pPr>
            <w:r>
              <w:rPr>
                <w:rFonts w:ascii="Times New Roman" w:hAnsi="Times New Roman" w:cs="Times New Roman"/>
              </w:rPr>
              <w:t>(8)</w:t>
            </w:r>
          </w:p>
        </w:tc>
        <w:tc>
          <w:tcPr>
            <w:tcW w:w="1236" w:type="dxa"/>
            <w:tcBorders>
              <w:top w:val="single" w:sz="4" w:space="0" w:color="auto"/>
            </w:tcBorders>
          </w:tcPr>
          <w:p w14:paraId="3310591C"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(9)</w:t>
            </w:r>
          </w:p>
        </w:tc>
        <w:tc>
          <w:tcPr>
            <w:tcW w:w="1194" w:type="dxa"/>
            <w:tcBorders>
              <w:top w:val="single" w:sz="4" w:space="0" w:color="auto"/>
            </w:tcBorders>
          </w:tcPr>
          <w:p w14:paraId="15374E95" w14:textId="77777777" w:rsidR="009E1D45" w:rsidRDefault="009E1D45" w:rsidP="001019DE">
            <w:pPr>
              <w:jc w:val="center"/>
              <w:rPr>
                <w:rFonts w:ascii="Times New Roman" w:hAnsi="Times New Roman" w:cs="Times New Roman"/>
              </w:rPr>
            </w:pPr>
            <w:r>
              <w:rPr>
                <w:rFonts w:ascii="Times New Roman" w:hAnsi="Times New Roman" w:cs="Times New Roman"/>
              </w:rPr>
              <w:t>(10)</w:t>
            </w:r>
          </w:p>
        </w:tc>
        <w:tc>
          <w:tcPr>
            <w:tcW w:w="1236" w:type="dxa"/>
            <w:tcBorders>
              <w:top w:val="single" w:sz="4" w:space="0" w:color="auto"/>
            </w:tcBorders>
          </w:tcPr>
          <w:p w14:paraId="05CE6194" w14:textId="77777777" w:rsidR="009E1D45" w:rsidRDefault="009E1D45" w:rsidP="001019DE">
            <w:pPr>
              <w:jc w:val="center"/>
              <w:rPr>
                <w:rFonts w:ascii="Times New Roman" w:hAnsi="Times New Roman" w:cs="Times New Roman"/>
              </w:rPr>
            </w:pPr>
            <w:r>
              <w:rPr>
                <w:rFonts w:ascii="Times New Roman" w:hAnsi="Times New Roman" w:cs="Times New Roman"/>
              </w:rPr>
              <w:t>(11)</w:t>
            </w:r>
          </w:p>
        </w:tc>
      </w:tr>
      <w:tr w:rsidR="009E1D45" w:rsidRPr="007D1576" w14:paraId="4DEB3A5F" w14:textId="77777777" w:rsidTr="001019DE">
        <w:trPr>
          <w:trHeight w:val="1171"/>
          <w:jc w:val="center"/>
        </w:trPr>
        <w:tc>
          <w:tcPr>
            <w:tcW w:w="1872" w:type="dxa"/>
          </w:tcPr>
          <w:p w14:paraId="723066C7" w14:textId="77777777" w:rsidR="009E1D45" w:rsidRPr="007D1576" w:rsidRDefault="009E1D45" w:rsidP="001019DE">
            <w:pPr>
              <w:jc w:val="center"/>
              <w:rPr>
                <w:rFonts w:ascii="Times New Roman" w:hAnsi="Times New Roman" w:cs="Times New Roman"/>
              </w:rPr>
            </w:pPr>
          </w:p>
        </w:tc>
        <w:tc>
          <w:tcPr>
            <w:tcW w:w="1236" w:type="dxa"/>
            <w:tcBorders>
              <w:bottom w:val="single" w:sz="4" w:space="0" w:color="auto"/>
            </w:tcBorders>
          </w:tcPr>
          <w:p w14:paraId="45E3C260" w14:textId="77777777" w:rsidR="009E1D45" w:rsidRPr="007D1576" w:rsidRDefault="009E1D45" w:rsidP="001019DE">
            <w:pPr>
              <w:jc w:val="center"/>
              <w:rPr>
                <w:rFonts w:ascii="Times New Roman" w:hAnsi="Times New Roman" w:cs="Times New Roman"/>
              </w:rPr>
            </w:pPr>
            <w:r w:rsidRPr="007D1576">
              <w:rPr>
                <w:rFonts w:ascii="Times New Roman" w:hAnsi="Times New Roman" w:cs="Times New Roman"/>
              </w:rPr>
              <w:t>Base Model</w:t>
            </w:r>
          </w:p>
        </w:tc>
        <w:tc>
          <w:tcPr>
            <w:tcW w:w="1236" w:type="dxa"/>
            <w:tcBorders>
              <w:bottom w:val="single" w:sz="4" w:space="0" w:color="auto"/>
            </w:tcBorders>
          </w:tcPr>
          <w:p w14:paraId="4DA4ADDF"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Lag of Per Pupil Spending</w:t>
            </w:r>
          </w:p>
        </w:tc>
        <w:tc>
          <w:tcPr>
            <w:tcW w:w="1283" w:type="dxa"/>
            <w:tcBorders>
              <w:bottom w:val="single" w:sz="4" w:space="0" w:color="auto"/>
            </w:tcBorders>
          </w:tcPr>
          <w:p w14:paraId="41AF2B6A" w14:textId="77777777" w:rsidR="009E1D45" w:rsidRDefault="009E1D45" w:rsidP="001019DE">
            <w:pPr>
              <w:jc w:val="center"/>
              <w:rPr>
                <w:rFonts w:ascii="Times New Roman" w:hAnsi="Times New Roman" w:cs="Times New Roman"/>
              </w:rPr>
            </w:pPr>
            <w:r>
              <w:rPr>
                <w:rFonts w:ascii="Times New Roman" w:hAnsi="Times New Roman" w:cs="Times New Roman"/>
              </w:rPr>
              <w:t>Poisson Regression</w:t>
            </w:r>
          </w:p>
        </w:tc>
        <w:tc>
          <w:tcPr>
            <w:tcW w:w="1243" w:type="dxa"/>
            <w:tcBorders>
              <w:bottom w:val="single" w:sz="4" w:space="0" w:color="auto"/>
            </w:tcBorders>
          </w:tcPr>
          <w:p w14:paraId="78214E75" w14:textId="77777777" w:rsidR="009E1D45" w:rsidRDefault="009E1D45" w:rsidP="001019DE">
            <w:pPr>
              <w:jc w:val="center"/>
              <w:rPr>
                <w:rFonts w:ascii="Times New Roman" w:hAnsi="Times New Roman" w:cs="Times New Roman"/>
              </w:rPr>
            </w:pPr>
            <w:r>
              <w:rPr>
                <w:rFonts w:ascii="Times New Roman" w:hAnsi="Times New Roman" w:cs="Times New Roman"/>
              </w:rPr>
              <w:t>Interact with Demeaned Covariates</w:t>
            </w:r>
          </w:p>
        </w:tc>
        <w:tc>
          <w:tcPr>
            <w:tcW w:w="1236" w:type="dxa"/>
            <w:tcBorders>
              <w:bottom w:val="single" w:sz="4" w:space="0" w:color="auto"/>
            </w:tcBorders>
          </w:tcPr>
          <w:p w14:paraId="30CBCD40"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Binary Treatment</w:t>
            </w:r>
          </w:p>
        </w:tc>
        <w:tc>
          <w:tcPr>
            <w:tcW w:w="1236" w:type="dxa"/>
            <w:tcBorders>
              <w:bottom w:val="single" w:sz="4" w:space="0" w:color="auto"/>
            </w:tcBorders>
          </w:tcPr>
          <w:p w14:paraId="158DD590" w14:textId="77777777" w:rsidR="009E1D45" w:rsidRPr="007D1576" w:rsidRDefault="009E1D45" w:rsidP="001019DE">
            <w:pPr>
              <w:jc w:val="center"/>
              <w:rPr>
                <w:rFonts w:ascii="Times New Roman" w:hAnsi="Times New Roman" w:cs="Times New Roman"/>
              </w:rPr>
            </w:pPr>
            <w:r w:rsidRPr="007D1576">
              <w:rPr>
                <w:rFonts w:ascii="Times New Roman" w:hAnsi="Times New Roman" w:cs="Times New Roman"/>
              </w:rPr>
              <w:t>TWFE</w:t>
            </w:r>
          </w:p>
        </w:tc>
        <w:tc>
          <w:tcPr>
            <w:tcW w:w="1236" w:type="dxa"/>
            <w:tcBorders>
              <w:bottom w:val="single" w:sz="4" w:space="0" w:color="auto"/>
            </w:tcBorders>
          </w:tcPr>
          <w:p w14:paraId="7D46A976" w14:textId="77777777" w:rsidR="009E1D45" w:rsidRPr="007D1576" w:rsidRDefault="009E1D45" w:rsidP="001019DE">
            <w:pPr>
              <w:jc w:val="center"/>
              <w:rPr>
                <w:rFonts w:ascii="Times New Roman" w:hAnsi="Times New Roman" w:cs="Times New Roman"/>
              </w:rPr>
            </w:pPr>
            <w:r w:rsidRPr="007D1576">
              <w:rPr>
                <w:rFonts w:ascii="Times New Roman" w:hAnsi="Times New Roman" w:cs="Times New Roman"/>
              </w:rPr>
              <w:t>Balanced Panel</w:t>
            </w:r>
          </w:p>
        </w:tc>
        <w:tc>
          <w:tcPr>
            <w:tcW w:w="1236" w:type="dxa"/>
            <w:tcBorders>
              <w:bottom w:val="single" w:sz="4" w:space="0" w:color="auto"/>
            </w:tcBorders>
          </w:tcPr>
          <w:p w14:paraId="1ADFFDE5"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Cengiz et al. (2019) Stacked</w:t>
            </w:r>
          </w:p>
        </w:tc>
        <w:tc>
          <w:tcPr>
            <w:tcW w:w="1236" w:type="dxa"/>
            <w:tcBorders>
              <w:bottom w:val="single" w:sz="4" w:space="0" w:color="auto"/>
            </w:tcBorders>
          </w:tcPr>
          <w:p w14:paraId="1E1BEE92" w14:textId="77777777" w:rsidR="009E1D45" w:rsidRPr="007D1576" w:rsidRDefault="009E1D45" w:rsidP="001019DE">
            <w:pPr>
              <w:jc w:val="center"/>
              <w:rPr>
                <w:rFonts w:ascii="Times New Roman" w:hAnsi="Times New Roman" w:cs="Times New Roman"/>
              </w:rPr>
            </w:pPr>
            <w:r w:rsidRPr="007D1576">
              <w:rPr>
                <w:rFonts w:ascii="Times New Roman" w:hAnsi="Times New Roman" w:cs="Times New Roman"/>
              </w:rPr>
              <w:t xml:space="preserve">CH </w:t>
            </w:r>
            <w:r>
              <w:rPr>
                <w:rFonts w:ascii="Times New Roman" w:hAnsi="Times New Roman" w:cs="Times New Roman"/>
              </w:rPr>
              <w:t xml:space="preserve">WAS </w:t>
            </w:r>
            <w:r w:rsidRPr="007D1576">
              <w:rPr>
                <w:rFonts w:ascii="Times New Roman" w:hAnsi="Times New Roman" w:cs="Times New Roman"/>
              </w:rPr>
              <w:t>Estimator</w:t>
            </w:r>
          </w:p>
        </w:tc>
        <w:tc>
          <w:tcPr>
            <w:tcW w:w="1194" w:type="dxa"/>
            <w:tcBorders>
              <w:bottom w:val="single" w:sz="4" w:space="0" w:color="auto"/>
            </w:tcBorders>
          </w:tcPr>
          <w:p w14:paraId="309C093E"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SDID with Binary Treatment</w:t>
            </w:r>
          </w:p>
        </w:tc>
        <w:tc>
          <w:tcPr>
            <w:tcW w:w="1236" w:type="dxa"/>
            <w:tcBorders>
              <w:bottom w:val="single" w:sz="4" w:space="0" w:color="auto"/>
            </w:tcBorders>
          </w:tcPr>
          <w:p w14:paraId="6D1B5DD2" w14:textId="77777777" w:rsidR="009E1D45" w:rsidRDefault="009E1D45" w:rsidP="001019DE">
            <w:pPr>
              <w:jc w:val="center"/>
              <w:rPr>
                <w:rFonts w:ascii="Times New Roman" w:hAnsi="Times New Roman" w:cs="Times New Roman"/>
              </w:rPr>
            </w:pPr>
            <w:r>
              <w:rPr>
                <w:rFonts w:ascii="Times New Roman" w:hAnsi="Times New Roman" w:cs="Times New Roman"/>
              </w:rPr>
              <w:t>Levelled Treatment</w:t>
            </w:r>
          </w:p>
        </w:tc>
      </w:tr>
      <w:tr w:rsidR="009E1D45" w:rsidRPr="007D1576" w14:paraId="476B2B61" w14:textId="77777777" w:rsidTr="001019DE">
        <w:trPr>
          <w:trHeight w:val="275"/>
          <w:jc w:val="center"/>
        </w:trPr>
        <w:tc>
          <w:tcPr>
            <w:tcW w:w="1872" w:type="dxa"/>
          </w:tcPr>
          <w:p w14:paraId="542B3CBB"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Dosage</w:t>
            </w:r>
          </w:p>
        </w:tc>
        <w:tc>
          <w:tcPr>
            <w:tcW w:w="1236" w:type="dxa"/>
            <w:tcBorders>
              <w:top w:val="single" w:sz="4" w:space="0" w:color="auto"/>
            </w:tcBorders>
          </w:tcPr>
          <w:p w14:paraId="19C5B331"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376.556</w:t>
            </w:r>
            <w:r>
              <w:rPr>
                <w:rFonts w:ascii="Times New Roman" w:hAnsi="Times New Roman" w:cs="Times New Roman"/>
                <w:kern w:val="0"/>
                <w:vertAlign w:val="superscript"/>
              </w:rPr>
              <w:t>***</w:t>
            </w:r>
          </w:p>
        </w:tc>
        <w:tc>
          <w:tcPr>
            <w:tcW w:w="1236" w:type="dxa"/>
            <w:tcBorders>
              <w:top w:val="single" w:sz="4" w:space="0" w:color="auto"/>
            </w:tcBorders>
          </w:tcPr>
          <w:p w14:paraId="50782FCC"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238.934</w:t>
            </w:r>
            <w:r>
              <w:rPr>
                <w:rFonts w:ascii="Times New Roman" w:hAnsi="Times New Roman" w:cs="Times New Roman"/>
                <w:kern w:val="0"/>
                <w:vertAlign w:val="superscript"/>
              </w:rPr>
              <w:t>***</w:t>
            </w:r>
          </w:p>
        </w:tc>
        <w:tc>
          <w:tcPr>
            <w:tcW w:w="1283" w:type="dxa"/>
            <w:tcBorders>
              <w:top w:val="single" w:sz="4" w:space="0" w:color="auto"/>
            </w:tcBorders>
          </w:tcPr>
          <w:p w14:paraId="2DCE8C83"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393.657</w:t>
            </w:r>
            <w:r>
              <w:rPr>
                <w:rFonts w:ascii="Times New Roman" w:hAnsi="Times New Roman" w:cs="Times New Roman"/>
                <w:kern w:val="0"/>
                <w:vertAlign w:val="superscript"/>
              </w:rPr>
              <w:t>***</w:t>
            </w:r>
          </w:p>
        </w:tc>
        <w:tc>
          <w:tcPr>
            <w:tcW w:w="1243" w:type="dxa"/>
            <w:tcBorders>
              <w:top w:val="single" w:sz="4" w:space="0" w:color="auto"/>
            </w:tcBorders>
          </w:tcPr>
          <w:p w14:paraId="67F14A8A"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404.022</w:t>
            </w:r>
            <w:r>
              <w:rPr>
                <w:rFonts w:ascii="Times New Roman" w:hAnsi="Times New Roman" w:cs="Times New Roman"/>
                <w:kern w:val="0"/>
                <w:vertAlign w:val="superscript"/>
              </w:rPr>
              <w:t>***</w:t>
            </w:r>
          </w:p>
        </w:tc>
        <w:tc>
          <w:tcPr>
            <w:tcW w:w="1236" w:type="dxa"/>
            <w:tcBorders>
              <w:top w:val="single" w:sz="4" w:space="0" w:color="auto"/>
            </w:tcBorders>
          </w:tcPr>
          <w:p w14:paraId="2EC57EE1"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181.475</w:t>
            </w:r>
            <w:r>
              <w:rPr>
                <w:rFonts w:ascii="Times New Roman" w:hAnsi="Times New Roman" w:cs="Times New Roman"/>
                <w:kern w:val="0"/>
                <w:vertAlign w:val="superscript"/>
              </w:rPr>
              <w:t>***</w:t>
            </w:r>
          </w:p>
        </w:tc>
        <w:tc>
          <w:tcPr>
            <w:tcW w:w="1236" w:type="dxa"/>
            <w:tcBorders>
              <w:top w:val="single" w:sz="4" w:space="0" w:color="auto"/>
            </w:tcBorders>
          </w:tcPr>
          <w:p w14:paraId="69A1430B"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317.874</w:t>
            </w:r>
            <w:r>
              <w:rPr>
                <w:rFonts w:ascii="Times New Roman" w:hAnsi="Times New Roman" w:cs="Times New Roman"/>
                <w:kern w:val="0"/>
                <w:vertAlign w:val="superscript"/>
              </w:rPr>
              <w:t>***</w:t>
            </w:r>
          </w:p>
        </w:tc>
        <w:tc>
          <w:tcPr>
            <w:tcW w:w="1236" w:type="dxa"/>
            <w:tcBorders>
              <w:top w:val="single" w:sz="4" w:space="0" w:color="auto"/>
            </w:tcBorders>
          </w:tcPr>
          <w:p w14:paraId="6A95FDDF"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351.736</w:t>
            </w:r>
            <w:r>
              <w:rPr>
                <w:rFonts w:ascii="Times New Roman" w:hAnsi="Times New Roman" w:cs="Times New Roman"/>
                <w:kern w:val="0"/>
                <w:vertAlign w:val="superscript"/>
              </w:rPr>
              <w:t>***</w:t>
            </w:r>
          </w:p>
        </w:tc>
        <w:tc>
          <w:tcPr>
            <w:tcW w:w="1236" w:type="dxa"/>
            <w:tcBorders>
              <w:top w:val="single" w:sz="4" w:space="0" w:color="auto"/>
            </w:tcBorders>
          </w:tcPr>
          <w:p w14:paraId="17393E0A"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339.217</w:t>
            </w:r>
            <w:r>
              <w:rPr>
                <w:rFonts w:ascii="Times New Roman" w:hAnsi="Times New Roman" w:cs="Times New Roman"/>
                <w:kern w:val="0"/>
                <w:vertAlign w:val="superscript"/>
              </w:rPr>
              <w:t>***</w:t>
            </w:r>
          </w:p>
        </w:tc>
        <w:tc>
          <w:tcPr>
            <w:tcW w:w="1236" w:type="dxa"/>
            <w:tcBorders>
              <w:top w:val="single" w:sz="4" w:space="0" w:color="auto"/>
            </w:tcBorders>
          </w:tcPr>
          <w:p w14:paraId="0A0DB9F0"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307.542</w:t>
            </w:r>
            <w:r>
              <w:rPr>
                <w:rFonts w:ascii="Times New Roman" w:hAnsi="Times New Roman" w:cs="Times New Roman"/>
                <w:kern w:val="0"/>
                <w:vertAlign w:val="superscript"/>
              </w:rPr>
              <w:t>***</w:t>
            </w:r>
          </w:p>
        </w:tc>
        <w:tc>
          <w:tcPr>
            <w:tcW w:w="1194" w:type="dxa"/>
            <w:tcBorders>
              <w:top w:val="single" w:sz="4" w:space="0" w:color="auto"/>
            </w:tcBorders>
          </w:tcPr>
          <w:p w14:paraId="4BA2D76C"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142.473</w:t>
            </w:r>
            <w:r>
              <w:rPr>
                <w:rFonts w:ascii="Times New Roman" w:hAnsi="Times New Roman" w:cs="Times New Roman"/>
                <w:kern w:val="0"/>
                <w:vertAlign w:val="superscript"/>
              </w:rPr>
              <w:t>**</w:t>
            </w:r>
          </w:p>
        </w:tc>
        <w:tc>
          <w:tcPr>
            <w:tcW w:w="1236" w:type="dxa"/>
            <w:tcBorders>
              <w:top w:val="single" w:sz="4" w:space="0" w:color="auto"/>
            </w:tcBorders>
          </w:tcPr>
          <w:p w14:paraId="412F1CA8" w14:textId="77777777" w:rsidR="009E1D45" w:rsidRDefault="009E1D45" w:rsidP="001019DE">
            <w:pPr>
              <w:jc w:val="center"/>
              <w:rPr>
                <w:rFonts w:ascii="Times New Roman" w:hAnsi="Times New Roman" w:cs="Times New Roman"/>
                <w:kern w:val="0"/>
              </w:rPr>
            </w:pPr>
          </w:p>
        </w:tc>
      </w:tr>
      <w:tr w:rsidR="009E1D45" w:rsidRPr="007D1576" w14:paraId="31F167E5" w14:textId="77777777" w:rsidTr="001019DE">
        <w:trPr>
          <w:trHeight w:val="275"/>
          <w:jc w:val="center"/>
        </w:trPr>
        <w:tc>
          <w:tcPr>
            <w:tcW w:w="1872" w:type="dxa"/>
          </w:tcPr>
          <w:p w14:paraId="756BF39D" w14:textId="77777777" w:rsidR="009E1D45" w:rsidRPr="007D1576" w:rsidRDefault="009E1D45" w:rsidP="001019DE">
            <w:pPr>
              <w:jc w:val="center"/>
              <w:rPr>
                <w:rFonts w:ascii="Times New Roman" w:hAnsi="Times New Roman" w:cs="Times New Roman"/>
              </w:rPr>
            </w:pPr>
          </w:p>
        </w:tc>
        <w:tc>
          <w:tcPr>
            <w:tcW w:w="1236" w:type="dxa"/>
          </w:tcPr>
          <w:p w14:paraId="496DC3E6"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(45.034)</w:t>
            </w:r>
          </w:p>
        </w:tc>
        <w:tc>
          <w:tcPr>
            <w:tcW w:w="1236" w:type="dxa"/>
          </w:tcPr>
          <w:p w14:paraId="13011DC2"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(32.784)</w:t>
            </w:r>
          </w:p>
        </w:tc>
        <w:tc>
          <w:tcPr>
            <w:tcW w:w="1283" w:type="dxa"/>
          </w:tcPr>
          <w:p w14:paraId="2CDF4EBB"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(45.911)</w:t>
            </w:r>
          </w:p>
        </w:tc>
        <w:tc>
          <w:tcPr>
            <w:tcW w:w="1243" w:type="dxa"/>
          </w:tcPr>
          <w:p w14:paraId="0DDC18B4"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(52.986)</w:t>
            </w:r>
          </w:p>
        </w:tc>
        <w:tc>
          <w:tcPr>
            <w:tcW w:w="1236" w:type="dxa"/>
          </w:tcPr>
          <w:p w14:paraId="4FAC70C8"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(36.034)</w:t>
            </w:r>
          </w:p>
        </w:tc>
        <w:tc>
          <w:tcPr>
            <w:tcW w:w="1236" w:type="dxa"/>
          </w:tcPr>
          <w:p w14:paraId="256F75C2"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(38.472)</w:t>
            </w:r>
          </w:p>
        </w:tc>
        <w:tc>
          <w:tcPr>
            <w:tcW w:w="1236" w:type="dxa"/>
          </w:tcPr>
          <w:p w14:paraId="400569CB"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(41.367)</w:t>
            </w:r>
          </w:p>
        </w:tc>
        <w:tc>
          <w:tcPr>
            <w:tcW w:w="1236" w:type="dxa"/>
          </w:tcPr>
          <w:p w14:paraId="2AB8742D"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(42.973)</w:t>
            </w:r>
          </w:p>
        </w:tc>
        <w:tc>
          <w:tcPr>
            <w:tcW w:w="1236" w:type="dxa"/>
          </w:tcPr>
          <w:p w14:paraId="014DBD9D"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(24.623)</w:t>
            </w:r>
          </w:p>
        </w:tc>
        <w:tc>
          <w:tcPr>
            <w:tcW w:w="1194" w:type="dxa"/>
          </w:tcPr>
          <w:p w14:paraId="1E6FECA8"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(64.359)</w:t>
            </w:r>
          </w:p>
        </w:tc>
        <w:tc>
          <w:tcPr>
            <w:tcW w:w="1236" w:type="dxa"/>
          </w:tcPr>
          <w:p w14:paraId="46D69A7C" w14:textId="77777777" w:rsidR="009E1D45" w:rsidRDefault="009E1D45" w:rsidP="001019DE">
            <w:pPr>
              <w:jc w:val="center"/>
              <w:rPr>
                <w:rFonts w:ascii="Times New Roman" w:hAnsi="Times New Roman" w:cs="Times New Roman"/>
                <w:kern w:val="0"/>
              </w:rPr>
            </w:pPr>
          </w:p>
        </w:tc>
      </w:tr>
      <w:tr w:rsidR="009E1D45" w:rsidRPr="007D1576" w14:paraId="21323968" w14:textId="77777777" w:rsidTr="001019DE">
        <w:trPr>
          <w:trHeight w:val="275"/>
          <w:jc w:val="center"/>
        </w:trPr>
        <w:tc>
          <w:tcPr>
            <w:tcW w:w="1872" w:type="dxa"/>
          </w:tcPr>
          <w:p w14:paraId="152B7A16"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Low Dosage</w:t>
            </w:r>
          </w:p>
        </w:tc>
        <w:tc>
          <w:tcPr>
            <w:tcW w:w="1236" w:type="dxa"/>
          </w:tcPr>
          <w:p w14:paraId="3FF752D1" w14:textId="77777777" w:rsidR="009E1D45" w:rsidRDefault="009E1D45" w:rsidP="001019DE">
            <w:pPr>
              <w:jc w:val="center"/>
              <w:rPr>
                <w:rFonts w:ascii="Times New Roman" w:hAnsi="Times New Roman" w:cs="Times New Roman"/>
                <w:kern w:val="0"/>
              </w:rPr>
            </w:pPr>
          </w:p>
        </w:tc>
        <w:tc>
          <w:tcPr>
            <w:tcW w:w="1236" w:type="dxa"/>
          </w:tcPr>
          <w:p w14:paraId="0E30F7F1" w14:textId="77777777" w:rsidR="009E1D45" w:rsidRDefault="009E1D45" w:rsidP="001019DE">
            <w:pPr>
              <w:jc w:val="center"/>
              <w:rPr>
                <w:rFonts w:ascii="Times New Roman" w:hAnsi="Times New Roman" w:cs="Times New Roman"/>
                <w:kern w:val="0"/>
              </w:rPr>
            </w:pPr>
          </w:p>
        </w:tc>
        <w:tc>
          <w:tcPr>
            <w:tcW w:w="1283" w:type="dxa"/>
          </w:tcPr>
          <w:p w14:paraId="07A48E21" w14:textId="77777777" w:rsidR="009E1D45" w:rsidRDefault="009E1D45" w:rsidP="001019DE">
            <w:pPr>
              <w:jc w:val="center"/>
              <w:rPr>
                <w:rFonts w:ascii="Times New Roman" w:hAnsi="Times New Roman" w:cs="Times New Roman"/>
                <w:kern w:val="0"/>
              </w:rPr>
            </w:pPr>
          </w:p>
        </w:tc>
        <w:tc>
          <w:tcPr>
            <w:tcW w:w="1243" w:type="dxa"/>
          </w:tcPr>
          <w:p w14:paraId="4EED3698" w14:textId="77777777" w:rsidR="009E1D45" w:rsidRDefault="009E1D45" w:rsidP="001019DE">
            <w:pPr>
              <w:jc w:val="center"/>
              <w:rPr>
                <w:rFonts w:ascii="Times New Roman" w:hAnsi="Times New Roman" w:cs="Times New Roman"/>
                <w:kern w:val="0"/>
              </w:rPr>
            </w:pPr>
          </w:p>
        </w:tc>
        <w:tc>
          <w:tcPr>
            <w:tcW w:w="1236" w:type="dxa"/>
          </w:tcPr>
          <w:p w14:paraId="7D543E4E" w14:textId="77777777" w:rsidR="009E1D45" w:rsidRDefault="009E1D45" w:rsidP="001019DE">
            <w:pPr>
              <w:jc w:val="center"/>
              <w:rPr>
                <w:rFonts w:ascii="Times New Roman" w:hAnsi="Times New Roman" w:cs="Times New Roman"/>
                <w:kern w:val="0"/>
              </w:rPr>
            </w:pPr>
          </w:p>
        </w:tc>
        <w:tc>
          <w:tcPr>
            <w:tcW w:w="1236" w:type="dxa"/>
          </w:tcPr>
          <w:p w14:paraId="23E7356B" w14:textId="77777777" w:rsidR="009E1D45" w:rsidRDefault="009E1D45" w:rsidP="001019DE">
            <w:pPr>
              <w:jc w:val="center"/>
              <w:rPr>
                <w:rFonts w:ascii="Times New Roman" w:hAnsi="Times New Roman" w:cs="Times New Roman"/>
                <w:kern w:val="0"/>
              </w:rPr>
            </w:pPr>
          </w:p>
        </w:tc>
        <w:tc>
          <w:tcPr>
            <w:tcW w:w="1236" w:type="dxa"/>
          </w:tcPr>
          <w:p w14:paraId="77F8FFBE" w14:textId="77777777" w:rsidR="009E1D45" w:rsidRDefault="009E1D45" w:rsidP="001019DE">
            <w:pPr>
              <w:jc w:val="center"/>
              <w:rPr>
                <w:rFonts w:ascii="Times New Roman" w:hAnsi="Times New Roman" w:cs="Times New Roman"/>
                <w:kern w:val="0"/>
              </w:rPr>
            </w:pPr>
          </w:p>
        </w:tc>
        <w:tc>
          <w:tcPr>
            <w:tcW w:w="1236" w:type="dxa"/>
          </w:tcPr>
          <w:p w14:paraId="26780CDE" w14:textId="77777777" w:rsidR="009E1D45" w:rsidRDefault="009E1D45" w:rsidP="001019DE">
            <w:pPr>
              <w:jc w:val="center"/>
              <w:rPr>
                <w:rFonts w:ascii="Times New Roman" w:hAnsi="Times New Roman" w:cs="Times New Roman"/>
                <w:kern w:val="0"/>
              </w:rPr>
            </w:pPr>
          </w:p>
        </w:tc>
        <w:tc>
          <w:tcPr>
            <w:tcW w:w="1236" w:type="dxa"/>
          </w:tcPr>
          <w:p w14:paraId="66926940" w14:textId="77777777" w:rsidR="009E1D45" w:rsidRDefault="009E1D45" w:rsidP="001019DE">
            <w:pPr>
              <w:jc w:val="center"/>
              <w:rPr>
                <w:rFonts w:ascii="Times New Roman" w:hAnsi="Times New Roman" w:cs="Times New Roman"/>
                <w:kern w:val="0"/>
              </w:rPr>
            </w:pPr>
          </w:p>
        </w:tc>
        <w:tc>
          <w:tcPr>
            <w:tcW w:w="1194" w:type="dxa"/>
          </w:tcPr>
          <w:p w14:paraId="19DCBCD4" w14:textId="77777777" w:rsidR="009E1D45" w:rsidRDefault="009E1D45" w:rsidP="001019DE">
            <w:pPr>
              <w:jc w:val="center"/>
              <w:rPr>
                <w:rFonts w:ascii="Times New Roman" w:hAnsi="Times New Roman" w:cs="Times New Roman"/>
                <w:kern w:val="0"/>
              </w:rPr>
            </w:pPr>
          </w:p>
        </w:tc>
        <w:tc>
          <w:tcPr>
            <w:tcW w:w="1236" w:type="dxa"/>
          </w:tcPr>
          <w:p w14:paraId="4444DF2A" w14:textId="77777777" w:rsidR="009E1D45" w:rsidRDefault="009E1D45" w:rsidP="001019DE">
            <w:pPr>
              <w:jc w:val="center"/>
              <w:rPr>
                <w:rFonts w:ascii="Times New Roman" w:hAnsi="Times New Roman" w:cs="Times New Roman"/>
                <w:kern w:val="0"/>
              </w:rPr>
            </w:pPr>
            <w:r>
              <w:rPr>
                <w:rFonts w:ascii="Times New Roman" w:hAnsi="Times New Roman" w:cs="Times New Roman"/>
                <w:kern w:val="0"/>
              </w:rPr>
              <w:t>72.118</w:t>
            </w:r>
            <w:r>
              <w:rPr>
                <w:rFonts w:ascii="Times New Roman" w:hAnsi="Times New Roman" w:cs="Times New Roman"/>
                <w:kern w:val="0"/>
                <w:vertAlign w:val="superscript"/>
              </w:rPr>
              <w:t>***</w:t>
            </w:r>
          </w:p>
        </w:tc>
      </w:tr>
      <w:tr w:rsidR="009E1D45" w:rsidRPr="007D1576" w14:paraId="1C00DBE3" w14:textId="77777777" w:rsidTr="001019DE">
        <w:trPr>
          <w:trHeight w:val="275"/>
          <w:jc w:val="center"/>
        </w:trPr>
        <w:tc>
          <w:tcPr>
            <w:tcW w:w="1872" w:type="dxa"/>
          </w:tcPr>
          <w:p w14:paraId="1ED11AE2" w14:textId="77777777" w:rsidR="009E1D45" w:rsidRPr="007D1576" w:rsidRDefault="009E1D45" w:rsidP="001019DE">
            <w:pPr>
              <w:jc w:val="center"/>
              <w:rPr>
                <w:rFonts w:ascii="Times New Roman" w:hAnsi="Times New Roman" w:cs="Times New Roman"/>
              </w:rPr>
            </w:pPr>
          </w:p>
        </w:tc>
        <w:tc>
          <w:tcPr>
            <w:tcW w:w="1236" w:type="dxa"/>
          </w:tcPr>
          <w:p w14:paraId="57010A3F" w14:textId="77777777" w:rsidR="009E1D45" w:rsidRDefault="009E1D45" w:rsidP="001019DE">
            <w:pPr>
              <w:jc w:val="center"/>
              <w:rPr>
                <w:rFonts w:ascii="Times New Roman" w:hAnsi="Times New Roman" w:cs="Times New Roman"/>
                <w:kern w:val="0"/>
              </w:rPr>
            </w:pPr>
          </w:p>
        </w:tc>
        <w:tc>
          <w:tcPr>
            <w:tcW w:w="1236" w:type="dxa"/>
          </w:tcPr>
          <w:p w14:paraId="5DF2EAED" w14:textId="77777777" w:rsidR="009E1D45" w:rsidRDefault="009E1D45" w:rsidP="001019DE">
            <w:pPr>
              <w:jc w:val="center"/>
              <w:rPr>
                <w:rFonts w:ascii="Times New Roman" w:hAnsi="Times New Roman" w:cs="Times New Roman"/>
                <w:kern w:val="0"/>
              </w:rPr>
            </w:pPr>
          </w:p>
        </w:tc>
        <w:tc>
          <w:tcPr>
            <w:tcW w:w="1283" w:type="dxa"/>
          </w:tcPr>
          <w:p w14:paraId="4B2B7058" w14:textId="77777777" w:rsidR="009E1D45" w:rsidRDefault="009E1D45" w:rsidP="001019DE">
            <w:pPr>
              <w:jc w:val="center"/>
              <w:rPr>
                <w:rFonts w:ascii="Times New Roman" w:hAnsi="Times New Roman" w:cs="Times New Roman"/>
                <w:kern w:val="0"/>
              </w:rPr>
            </w:pPr>
          </w:p>
        </w:tc>
        <w:tc>
          <w:tcPr>
            <w:tcW w:w="1243" w:type="dxa"/>
          </w:tcPr>
          <w:p w14:paraId="5C81CF89" w14:textId="77777777" w:rsidR="009E1D45" w:rsidRDefault="009E1D45" w:rsidP="001019DE">
            <w:pPr>
              <w:jc w:val="center"/>
              <w:rPr>
                <w:rFonts w:ascii="Times New Roman" w:hAnsi="Times New Roman" w:cs="Times New Roman"/>
                <w:kern w:val="0"/>
              </w:rPr>
            </w:pPr>
          </w:p>
        </w:tc>
        <w:tc>
          <w:tcPr>
            <w:tcW w:w="1236" w:type="dxa"/>
          </w:tcPr>
          <w:p w14:paraId="7B03A65D" w14:textId="77777777" w:rsidR="009E1D45" w:rsidRDefault="009E1D45" w:rsidP="001019DE">
            <w:pPr>
              <w:jc w:val="center"/>
              <w:rPr>
                <w:rFonts w:ascii="Times New Roman" w:hAnsi="Times New Roman" w:cs="Times New Roman"/>
                <w:kern w:val="0"/>
              </w:rPr>
            </w:pPr>
          </w:p>
        </w:tc>
        <w:tc>
          <w:tcPr>
            <w:tcW w:w="1236" w:type="dxa"/>
          </w:tcPr>
          <w:p w14:paraId="561237B1" w14:textId="77777777" w:rsidR="009E1D45" w:rsidRDefault="009E1D45" w:rsidP="001019DE">
            <w:pPr>
              <w:jc w:val="center"/>
              <w:rPr>
                <w:rFonts w:ascii="Times New Roman" w:hAnsi="Times New Roman" w:cs="Times New Roman"/>
                <w:kern w:val="0"/>
              </w:rPr>
            </w:pPr>
          </w:p>
        </w:tc>
        <w:tc>
          <w:tcPr>
            <w:tcW w:w="1236" w:type="dxa"/>
          </w:tcPr>
          <w:p w14:paraId="13EF6F86" w14:textId="77777777" w:rsidR="009E1D45" w:rsidRDefault="009E1D45" w:rsidP="001019DE">
            <w:pPr>
              <w:jc w:val="center"/>
              <w:rPr>
                <w:rFonts w:ascii="Times New Roman" w:hAnsi="Times New Roman" w:cs="Times New Roman"/>
                <w:kern w:val="0"/>
              </w:rPr>
            </w:pPr>
          </w:p>
        </w:tc>
        <w:tc>
          <w:tcPr>
            <w:tcW w:w="1236" w:type="dxa"/>
          </w:tcPr>
          <w:p w14:paraId="63962292" w14:textId="77777777" w:rsidR="009E1D45" w:rsidRDefault="009E1D45" w:rsidP="001019DE">
            <w:pPr>
              <w:jc w:val="center"/>
              <w:rPr>
                <w:rFonts w:ascii="Times New Roman" w:hAnsi="Times New Roman" w:cs="Times New Roman"/>
                <w:kern w:val="0"/>
              </w:rPr>
            </w:pPr>
          </w:p>
        </w:tc>
        <w:tc>
          <w:tcPr>
            <w:tcW w:w="1236" w:type="dxa"/>
          </w:tcPr>
          <w:p w14:paraId="11B93267" w14:textId="77777777" w:rsidR="009E1D45" w:rsidRDefault="009E1D45" w:rsidP="001019DE">
            <w:pPr>
              <w:jc w:val="center"/>
              <w:rPr>
                <w:rFonts w:ascii="Times New Roman" w:hAnsi="Times New Roman" w:cs="Times New Roman"/>
                <w:kern w:val="0"/>
              </w:rPr>
            </w:pPr>
          </w:p>
        </w:tc>
        <w:tc>
          <w:tcPr>
            <w:tcW w:w="1194" w:type="dxa"/>
          </w:tcPr>
          <w:p w14:paraId="08CF5A76" w14:textId="77777777" w:rsidR="009E1D45" w:rsidRDefault="009E1D45" w:rsidP="001019DE">
            <w:pPr>
              <w:jc w:val="center"/>
              <w:rPr>
                <w:rFonts w:ascii="Times New Roman" w:hAnsi="Times New Roman" w:cs="Times New Roman"/>
                <w:kern w:val="0"/>
              </w:rPr>
            </w:pPr>
          </w:p>
        </w:tc>
        <w:tc>
          <w:tcPr>
            <w:tcW w:w="1236" w:type="dxa"/>
          </w:tcPr>
          <w:p w14:paraId="15CE0775" w14:textId="77777777" w:rsidR="009E1D45" w:rsidRDefault="009E1D45" w:rsidP="001019DE">
            <w:pPr>
              <w:jc w:val="center"/>
              <w:rPr>
                <w:rFonts w:ascii="Times New Roman" w:hAnsi="Times New Roman" w:cs="Times New Roman"/>
                <w:kern w:val="0"/>
              </w:rPr>
            </w:pPr>
            <w:r>
              <w:rPr>
                <w:rFonts w:ascii="Times New Roman" w:hAnsi="Times New Roman" w:cs="Times New Roman"/>
                <w:kern w:val="0"/>
              </w:rPr>
              <w:t>(23.568)</w:t>
            </w:r>
          </w:p>
        </w:tc>
      </w:tr>
      <w:tr w:rsidR="009E1D45" w:rsidRPr="007D1576" w14:paraId="24A8383B" w14:textId="77777777" w:rsidTr="001019DE">
        <w:trPr>
          <w:trHeight w:val="275"/>
          <w:jc w:val="center"/>
        </w:trPr>
        <w:tc>
          <w:tcPr>
            <w:tcW w:w="1872" w:type="dxa"/>
          </w:tcPr>
          <w:p w14:paraId="680058C5"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High Dosage</w:t>
            </w:r>
          </w:p>
        </w:tc>
        <w:tc>
          <w:tcPr>
            <w:tcW w:w="1236" w:type="dxa"/>
          </w:tcPr>
          <w:p w14:paraId="705A7E71" w14:textId="77777777" w:rsidR="009E1D45" w:rsidRDefault="009E1D45" w:rsidP="001019DE">
            <w:pPr>
              <w:jc w:val="center"/>
              <w:rPr>
                <w:rFonts w:ascii="Times New Roman" w:hAnsi="Times New Roman" w:cs="Times New Roman"/>
                <w:kern w:val="0"/>
              </w:rPr>
            </w:pPr>
          </w:p>
        </w:tc>
        <w:tc>
          <w:tcPr>
            <w:tcW w:w="1236" w:type="dxa"/>
          </w:tcPr>
          <w:p w14:paraId="5AB19F13" w14:textId="77777777" w:rsidR="009E1D45" w:rsidRDefault="009E1D45" w:rsidP="001019DE">
            <w:pPr>
              <w:jc w:val="center"/>
              <w:rPr>
                <w:rFonts w:ascii="Times New Roman" w:hAnsi="Times New Roman" w:cs="Times New Roman"/>
                <w:kern w:val="0"/>
              </w:rPr>
            </w:pPr>
          </w:p>
        </w:tc>
        <w:tc>
          <w:tcPr>
            <w:tcW w:w="1283" w:type="dxa"/>
          </w:tcPr>
          <w:p w14:paraId="6B3076A3" w14:textId="77777777" w:rsidR="009E1D45" w:rsidRDefault="009E1D45" w:rsidP="001019DE">
            <w:pPr>
              <w:jc w:val="center"/>
              <w:rPr>
                <w:rFonts w:ascii="Times New Roman" w:hAnsi="Times New Roman" w:cs="Times New Roman"/>
                <w:kern w:val="0"/>
              </w:rPr>
            </w:pPr>
          </w:p>
        </w:tc>
        <w:tc>
          <w:tcPr>
            <w:tcW w:w="1243" w:type="dxa"/>
          </w:tcPr>
          <w:p w14:paraId="3D444A25" w14:textId="77777777" w:rsidR="009E1D45" w:rsidRDefault="009E1D45" w:rsidP="001019DE">
            <w:pPr>
              <w:jc w:val="center"/>
              <w:rPr>
                <w:rFonts w:ascii="Times New Roman" w:hAnsi="Times New Roman" w:cs="Times New Roman"/>
                <w:kern w:val="0"/>
              </w:rPr>
            </w:pPr>
          </w:p>
        </w:tc>
        <w:tc>
          <w:tcPr>
            <w:tcW w:w="1236" w:type="dxa"/>
          </w:tcPr>
          <w:p w14:paraId="7FDD3BBD" w14:textId="77777777" w:rsidR="009E1D45" w:rsidRDefault="009E1D45" w:rsidP="001019DE">
            <w:pPr>
              <w:jc w:val="center"/>
              <w:rPr>
                <w:rFonts w:ascii="Times New Roman" w:hAnsi="Times New Roman" w:cs="Times New Roman"/>
                <w:kern w:val="0"/>
              </w:rPr>
            </w:pPr>
          </w:p>
        </w:tc>
        <w:tc>
          <w:tcPr>
            <w:tcW w:w="1236" w:type="dxa"/>
          </w:tcPr>
          <w:p w14:paraId="6549BABE" w14:textId="77777777" w:rsidR="009E1D45" w:rsidRDefault="009E1D45" w:rsidP="001019DE">
            <w:pPr>
              <w:jc w:val="center"/>
              <w:rPr>
                <w:rFonts w:ascii="Times New Roman" w:hAnsi="Times New Roman" w:cs="Times New Roman"/>
                <w:kern w:val="0"/>
              </w:rPr>
            </w:pPr>
          </w:p>
        </w:tc>
        <w:tc>
          <w:tcPr>
            <w:tcW w:w="1236" w:type="dxa"/>
          </w:tcPr>
          <w:p w14:paraId="588DF93E" w14:textId="77777777" w:rsidR="009E1D45" w:rsidRDefault="009E1D45" w:rsidP="001019DE">
            <w:pPr>
              <w:jc w:val="center"/>
              <w:rPr>
                <w:rFonts w:ascii="Times New Roman" w:hAnsi="Times New Roman" w:cs="Times New Roman"/>
                <w:kern w:val="0"/>
              </w:rPr>
            </w:pPr>
          </w:p>
        </w:tc>
        <w:tc>
          <w:tcPr>
            <w:tcW w:w="1236" w:type="dxa"/>
          </w:tcPr>
          <w:p w14:paraId="599FA0C7" w14:textId="77777777" w:rsidR="009E1D45" w:rsidRDefault="009E1D45" w:rsidP="001019DE">
            <w:pPr>
              <w:jc w:val="center"/>
              <w:rPr>
                <w:rFonts w:ascii="Times New Roman" w:hAnsi="Times New Roman" w:cs="Times New Roman"/>
                <w:kern w:val="0"/>
              </w:rPr>
            </w:pPr>
          </w:p>
        </w:tc>
        <w:tc>
          <w:tcPr>
            <w:tcW w:w="1236" w:type="dxa"/>
          </w:tcPr>
          <w:p w14:paraId="5BE7E9A7" w14:textId="77777777" w:rsidR="009E1D45" w:rsidRDefault="009E1D45" w:rsidP="001019DE">
            <w:pPr>
              <w:jc w:val="center"/>
              <w:rPr>
                <w:rFonts w:ascii="Times New Roman" w:hAnsi="Times New Roman" w:cs="Times New Roman"/>
                <w:kern w:val="0"/>
              </w:rPr>
            </w:pPr>
          </w:p>
        </w:tc>
        <w:tc>
          <w:tcPr>
            <w:tcW w:w="1194" w:type="dxa"/>
          </w:tcPr>
          <w:p w14:paraId="6AFB9311" w14:textId="77777777" w:rsidR="009E1D45" w:rsidRDefault="009E1D45" w:rsidP="001019DE">
            <w:pPr>
              <w:jc w:val="center"/>
              <w:rPr>
                <w:rFonts w:ascii="Times New Roman" w:hAnsi="Times New Roman" w:cs="Times New Roman"/>
                <w:kern w:val="0"/>
              </w:rPr>
            </w:pPr>
          </w:p>
        </w:tc>
        <w:tc>
          <w:tcPr>
            <w:tcW w:w="1236" w:type="dxa"/>
          </w:tcPr>
          <w:p w14:paraId="5045E67D" w14:textId="77777777" w:rsidR="009E1D45" w:rsidRDefault="009E1D45" w:rsidP="001019DE">
            <w:pPr>
              <w:jc w:val="center"/>
              <w:rPr>
                <w:rFonts w:ascii="Times New Roman" w:hAnsi="Times New Roman" w:cs="Times New Roman"/>
                <w:kern w:val="0"/>
              </w:rPr>
            </w:pPr>
            <w:r>
              <w:rPr>
                <w:rFonts w:ascii="Times New Roman" w:hAnsi="Times New Roman" w:cs="Times New Roman"/>
                <w:kern w:val="0"/>
              </w:rPr>
              <w:t>223.492</w:t>
            </w:r>
            <w:r>
              <w:rPr>
                <w:rFonts w:ascii="Times New Roman" w:hAnsi="Times New Roman" w:cs="Times New Roman"/>
                <w:kern w:val="0"/>
                <w:vertAlign w:val="superscript"/>
              </w:rPr>
              <w:t>***</w:t>
            </w:r>
          </w:p>
        </w:tc>
      </w:tr>
      <w:tr w:rsidR="009E1D45" w:rsidRPr="007D1576" w14:paraId="34366A2D" w14:textId="77777777" w:rsidTr="001019DE">
        <w:trPr>
          <w:trHeight w:val="275"/>
          <w:jc w:val="center"/>
        </w:trPr>
        <w:tc>
          <w:tcPr>
            <w:tcW w:w="1872" w:type="dxa"/>
            <w:tcBorders>
              <w:bottom w:val="single" w:sz="4" w:space="0" w:color="auto"/>
            </w:tcBorders>
          </w:tcPr>
          <w:p w14:paraId="6481FBB5" w14:textId="77777777" w:rsidR="009E1D45" w:rsidRPr="007D1576" w:rsidRDefault="009E1D45" w:rsidP="001019DE">
            <w:pPr>
              <w:jc w:val="center"/>
              <w:rPr>
                <w:rFonts w:ascii="Times New Roman" w:hAnsi="Times New Roman" w:cs="Times New Roman"/>
              </w:rPr>
            </w:pPr>
          </w:p>
        </w:tc>
        <w:tc>
          <w:tcPr>
            <w:tcW w:w="1236" w:type="dxa"/>
            <w:tcBorders>
              <w:bottom w:val="single" w:sz="4" w:space="0" w:color="auto"/>
            </w:tcBorders>
          </w:tcPr>
          <w:p w14:paraId="69A24B82" w14:textId="77777777" w:rsidR="009E1D45" w:rsidRDefault="009E1D45" w:rsidP="001019DE">
            <w:pPr>
              <w:jc w:val="center"/>
              <w:rPr>
                <w:rFonts w:ascii="Times New Roman" w:hAnsi="Times New Roman" w:cs="Times New Roman"/>
                <w:kern w:val="0"/>
              </w:rPr>
            </w:pPr>
          </w:p>
        </w:tc>
        <w:tc>
          <w:tcPr>
            <w:tcW w:w="1236" w:type="dxa"/>
            <w:tcBorders>
              <w:bottom w:val="single" w:sz="4" w:space="0" w:color="auto"/>
            </w:tcBorders>
          </w:tcPr>
          <w:p w14:paraId="1237A4A1" w14:textId="77777777" w:rsidR="009E1D45" w:rsidRDefault="009E1D45" w:rsidP="001019DE">
            <w:pPr>
              <w:jc w:val="center"/>
              <w:rPr>
                <w:rFonts w:ascii="Times New Roman" w:hAnsi="Times New Roman" w:cs="Times New Roman"/>
                <w:kern w:val="0"/>
              </w:rPr>
            </w:pPr>
          </w:p>
        </w:tc>
        <w:tc>
          <w:tcPr>
            <w:tcW w:w="1283" w:type="dxa"/>
            <w:tcBorders>
              <w:bottom w:val="single" w:sz="4" w:space="0" w:color="auto"/>
            </w:tcBorders>
          </w:tcPr>
          <w:p w14:paraId="7BB36543" w14:textId="77777777" w:rsidR="009E1D45" w:rsidRDefault="009E1D45" w:rsidP="001019DE">
            <w:pPr>
              <w:jc w:val="center"/>
              <w:rPr>
                <w:rFonts w:ascii="Times New Roman" w:hAnsi="Times New Roman" w:cs="Times New Roman"/>
                <w:kern w:val="0"/>
              </w:rPr>
            </w:pPr>
          </w:p>
        </w:tc>
        <w:tc>
          <w:tcPr>
            <w:tcW w:w="1243" w:type="dxa"/>
            <w:tcBorders>
              <w:bottom w:val="single" w:sz="4" w:space="0" w:color="auto"/>
            </w:tcBorders>
          </w:tcPr>
          <w:p w14:paraId="2C40C50F" w14:textId="77777777" w:rsidR="009E1D45" w:rsidRDefault="009E1D45" w:rsidP="001019DE">
            <w:pPr>
              <w:jc w:val="center"/>
              <w:rPr>
                <w:rFonts w:ascii="Times New Roman" w:hAnsi="Times New Roman" w:cs="Times New Roman"/>
                <w:kern w:val="0"/>
              </w:rPr>
            </w:pPr>
          </w:p>
        </w:tc>
        <w:tc>
          <w:tcPr>
            <w:tcW w:w="1236" w:type="dxa"/>
            <w:tcBorders>
              <w:bottom w:val="single" w:sz="4" w:space="0" w:color="auto"/>
            </w:tcBorders>
          </w:tcPr>
          <w:p w14:paraId="4BD4A4BE" w14:textId="77777777" w:rsidR="009E1D45" w:rsidRDefault="009E1D45" w:rsidP="001019DE">
            <w:pPr>
              <w:jc w:val="center"/>
              <w:rPr>
                <w:rFonts w:ascii="Times New Roman" w:hAnsi="Times New Roman" w:cs="Times New Roman"/>
                <w:kern w:val="0"/>
              </w:rPr>
            </w:pPr>
          </w:p>
        </w:tc>
        <w:tc>
          <w:tcPr>
            <w:tcW w:w="1236" w:type="dxa"/>
            <w:tcBorders>
              <w:bottom w:val="single" w:sz="4" w:space="0" w:color="auto"/>
            </w:tcBorders>
          </w:tcPr>
          <w:p w14:paraId="37C0F420" w14:textId="77777777" w:rsidR="009E1D45" w:rsidRDefault="009E1D45" w:rsidP="001019DE">
            <w:pPr>
              <w:jc w:val="center"/>
              <w:rPr>
                <w:rFonts w:ascii="Times New Roman" w:hAnsi="Times New Roman" w:cs="Times New Roman"/>
                <w:kern w:val="0"/>
              </w:rPr>
            </w:pPr>
          </w:p>
        </w:tc>
        <w:tc>
          <w:tcPr>
            <w:tcW w:w="1236" w:type="dxa"/>
            <w:tcBorders>
              <w:bottom w:val="single" w:sz="4" w:space="0" w:color="auto"/>
            </w:tcBorders>
          </w:tcPr>
          <w:p w14:paraId="00624712" w14:textId="77777777" w:rsidR="009E1D45" w:rsidRDefault="009E1D45" w:rsidP="001019DE">
            <w:pPr>
              <w:jc w:val="center"/>
              <w:rPr>
                <w:rFonts w:ascii="Times New Roman" w:hAnsi="Times New Roman" w:cs="Times New Roman"/>
                <w:kern w:val="0"/>
              </w:rPr>
            </w:pPr>
          </w:p>
        </w:tc>
        <w:tc>
          <w:tcPr>
            <w:tcW w:w="1236" w:type="dxa"/>
            <w:tcBorders>
              <w:bottom w:val="single" w:sz="4" w:space="0" w:color="auto"/>
            </w:tcBorders>
          </w:tcPr>
          <w:p w14:paraId="554D300A" w14:textId="77777777" w:rsidR="009E1D45" w:rsidRDefault="009E1D45" w:rsidP="001019DE">
            <w:pPr>
              <w:jc w:val="center"/>
              <w:rPr>
                <w:rFonts w:ascii="Times New Roman" w:hAnsi="Times New Roman" w:cs="Times New Roman"/>
                <w:kern w:val="0"/>
              </w:rPr>
            </w:pPr>
          </w:p>
        </w:tc>
        <w:tc>
          <w:tcPr>
            <w:tcW w:w="1236" w:type="dxa"/>
            <w:tcBorders>
              <w:bottom w:val="single" w:sz="4" w:space="0" w:color="auto"/>
            </w:tcBorders>
          </w:tcPr>
          <w:p w14:paraId="0D38D9D0" w14:textId="77777777" w:rsidR="009E1D45" w:rsidRDefault="009E1D45" w:rsidP="001019DE">
            <w:pPr>
              <w:jc w:val="center"/>
              <w:rPr>
                <w:rFonts w:ascii="Times New Roman" w:hAnsi="Times New Roman" w:cs="Times New Roman"/>
                <w:kern w:val="0"/>
              </w:rPr>
            </w:pPr>
          </w:p>
        </w:tc>
        <w:tc>
          <w:tcPr>
            <w:tcW w:w="1194" w:type="dxa"/>
            <w:tcBorders>
              <w:bottom w:val="single" w:sz="4" w:space="0" w:color="auto"/>
            </w:tcBorders>
          </w:tcPr>
          <w:p w14:paraId="5908AAD2" w14:textId="77777777" w:rsidR="009E1D45" w:rsidRDefault="009E1D45" w:rsidP="001019DE">
            <w:pPr>
              <w:jc w:val="center"/>
              <w:rPr>
                <w:rFonts w:ascii="Times New Roman" w:hAnsi="Times New Roman" w:cs="Times New Roman"/>
                <w:kern w:val="0"/>
              </w:rPr>
            </w:pPr>
          </w:p>
        </w:tc>
        <w:tc>
          <w:tcPr>
            <w:tcW w:w="1236" w:type="dxa"/>
            <w:tcBorders>
              <w:bottom w:val="single" w:sz="4" w:space="0" w:color="auto"/>
            </w:tcBorders>
          </w:tcPr>
          <w:p w14:paraId="3C8E2536" w14:textId="77777777" w:rsidR="009E1D45" w:rsidRDefault="009E1D45" w:rsidP="001019DE">
            <w:pPr>
              <w:jc w:val="center"/>
              <w:rPr>
                <w:rFonts w:ascii="Times New Roman" w:hAnsi="Times New Roman" w:cs="Times New Roman"/>
                <w:kern w:val="0"/>
              </w:rPr>
            </w:pPr>
            <w:r>
              <w:rPr>
                <w:rFonts w:ascii="Times New Roman" w:hAnsi="Times New Roman" w:cs="Times New Roman"/>
                <w:kern w:val="0"/>
              </w:rPr>
              <w:t>(24.908)</w:t>
            </w:r>
          </w:p>
        </w:tc>
      </w:tr>
      <w:tr w:rsidR="009E1D45" w:rsidRPr="007D1576" w14:paraId="20644DB9" w14:textId="77777777" w:rsidTr="001019DE">
        <w:trPr>
          <w:trHeight w:val="91"/>
          <w:jc w:val="center"/>
        </w:trPr>
        <w:tc>
          <w:tcPr>
            <w:tcW w:w="1872" w:type="dxa"/>
            <w:tcBorders>
              <w:top w:val="single" w:sz="4" w:space="0" w:color="auto"/>
            </w:tcBorders>
          </w:tcPr>
          <w:p w14:paraId="269406DB" w14:textId="77777777" w:rsidR="009E1D45" w:rsidRPr="007D1576" w:rsidRDefault="009E1D45" w:rsidP="001019DE">
            <w:pPr>
              <w:jc w:val="center"/>
              <w:rPr>
                <w:rFonts w:ascii="Times New Roman" w:hAnsi="Times New Roman" w:cs="Times New Roman"/>
              </w:rPr>
            </w:pPr>
            <w:r w:rsidRPr="007D1576">
              <w:rPr>
                <w:rFonts w:ascii="Times New Roman" w:hAnsi="Times New Roman" w:cs="Times New Roman"/>
              </w:rPr>
              <w:t>Functional Form</w:t>
            </w:r>
          </w:p>
        </w:tc>
        <w:tc>
          <w:tcPr>
            <w:tcW w:w="1236" w:type="dxa"/>
            <w:tcBorders>
              <w:top w:val="single" w:sz="4" w:space="0" w:color="auto"/>
            </w:tcBorders>
          </w:tcPr>
          <w:p w14:paraId="17D7D67A"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Linear</w:t>
            </w:r>
          </w:p>
        </w:tc>
        <w:tc>
          <w:tcPr>
            <w:tcW w:w="1236" w:type="dxa"/>
            <w:tcBorders>
              <w:top w:val="single" w:sz="4" w:space="0" w:color="auto"/>
            </w:tcBorders>
          </w:tcPr>
          <w:p w14:paraId="4E4BD4C5" w14:textId="77777777" w:rsidR="009E1D45" w:rsidRDefault="009E1D45" w:rsidP="001019DE">
            <w:pPr>
              <w:jc w:val="center"/>
              <w:rPr>
                <w:rFonts w:ascii="Times New Roman" w:hAnsi="Times New Roman" w:cs="Times New Roman"/>
              </w:rPr>
            </w:pPr>
            <w:r>
              <w:rPr>
                <w:rFonts w:ascii="Times New Roman" w:hAnsi="Times New Roman" w:cs="Times New Roman"/>
              </w:rPr>
              <w:t>Linear</w:t>
            </w:r>
          </w:p>
        </w:tc>
        <w:tc>
          <w:tcPr>
            <w:tcW w:w="1283" w:type="dxa"/>
            <w:tcBorders>
              <w:top w:val="single" w:sz="4" w:space="0" w:color="auto"/>
            </w:tcBorders>
          </w:tcPr>
          <w:p w14:paraId="4E2E6A39" w14:textId="77777777" w:rsidR="009E1D45" w:rsidRDefault="009E1D45" w:rsidP="001019DE">
            <w:pPr>
              <w:jc w:val="center"/>
              <w:rPr>
                <w:rFonts w:ascii="Times New Roman" w:hAnsi="Times New Roman" w:cs="Times New Roman"/>
              </w:rPr>
            </w:pPr>
            <w:r>
              <w:rPr>
                <w:rFonts w:ascii="Times New Roman" w:hAnsi="Times New Roman" w:cs="Times New Roman"/>
              </w:rPr>
              <w:t>Linear</w:t>
            </w:r>
          </w:p>
        </w:tc>
        <w:tc>
          <w:tcPr>
            <w:tcW w:w="1243" w:type="dxa"/>
            <w:tcBorders>
              <w:top w:val="single" w:sz="4" w:space="0" w:color="auto"/>
            </w:tcBorders>
          </w:tcPr>
          <w:p w14:paraId="65ADF2AF" w14:textId="77777777" w:rsidR="009E1D45" w:rsidRDefault="009E1D45" w:rsidP="001019DE">
            <w:pPr>
              <w:jc w:val="center"/>
              <w:rPr>
                <w:rFonts w:ascii="Times New Roman" w:hAnsi="Times New Roman" w:cs="Times New Roman"/>
              </w:rPr>
            </w:pPr>
            <w:r>
              <w:rPr>
                <w:rFonts w:ascii="Times New Roman" w:hAnsi="Times New Roman" w:cs="Times New Roman"/>
              </w:rPr>
              <w:t>Linear</w:t>
            </w:r>
          </w:p>
        </w:tc>
        <w:tc>
          <w:tcPr>
            <w:tcW w:w="1236" w:type="dxa"/>
            <w:tcBorders>
              <w:top w:val="single" w:sz="4" w:space="0" w:color="auto"/>
            </w:tcBorders>
          </w:tcPr>
          <w:p w14:paraId="5D440594" w14:textId="77777777" w:rsidR="009E1D45" w:rsidRDefault="009E1D45" w:rsidP="001019DE">
            <w:pPr>
              <w:jc w:val="center"/>
              <w:rPr>
                <w:rFonts w:ascii="Times New Roman" w:hAnsi="Times New Roman" w:cs="Times New Roman"/>
              </w:rPr>
            </w:pPr>
            <w:r>
              <w:rPr>
                <w:rFonts w:ascii="Times New Roman" w:hAnsi="Times New Roman" w:cs="Times New Roman"/>
              </w:rPr>
              <w:t>N/A</w:t>
            </w:r>
          </w:p>
        </w:tc>
        <w:tc>
          <w:tcPr>
            <w:tcW w:w="1236" w:type="dxa"/>
            <w:tcBorders>
              <w:top w:val="single" w:sz="4" w:space="0" w:color="auto"/>
            </w:tcBorders>
          </w:tcPr>
          <w:p w14:paraId="1596EF16"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Linear</w:t>
            </w:r>
          </w:p>
        </w:tc>
        <w:tc>
          <w:tcPr>
            <w:tcW w:w="1236" w:type="dxa"/>
            <w:tcBorders>
              <w:top w:val="single" w:sz="4" w:space="0" w:color="auto"/>
            </w:tcBorders>
          </w:tcPr>
          <w:p w14:paraId="5A5EDD2E"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Linear</w:t>
            </w:r>
          </w:p>
        </w:tc>
        <w:tc>
          <w:tcPr>
            <w:tcW w:w="1236" w:type="dxa"/>
            <w:tcBorders>
              <w:top w:val="single" w:sz="4" w:space="0" w:color="auto"/>
            </w:tcBorders>
          </w:tcPr>
          <w:p w14:paraId="045824C7"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Linear</w:t>
            </w:r>
          </w:p>
        </w:tc>
        <w:tc>
          <w:tcPr>
            <w:tcW w:w="1236" w:type="dxa"/>
            <w:tcBorders>
              <w:top w:val="single" w:sz="4" w:space="0" w:color="auto"/>
            </w:tcBorders>
          </w:tcPr>
          <w:p w14:paraId="44878B75" w14:textId="77777777" w:rsidR="009E1D45" w:rsidRPr="007D1576" w:rsidRDefault="009E1D45" w:rsidP="001019DE">
            <w:pPr>
              <w:jc w:val="center"/>
              <w:rPr>
                <w:rFonts w:ascii="Times New Roman" w:hAnsi="Times New Roman" w:cs="Times New Roman"/>
              </w:rPr>
            </w:pPr>
            <w:r>
              <w:rPr>
                <w:rFonts w:ascii="Times New Roman" w:hAnsi="Times New Roman" w:cs="Times New Roman"/>
              </w:rPr>
              <w:t>Linear</w:t>
            </w:r>
          </w:p>
        </w:tc>
        <w:tc>
          <w:tcPr>
            <w:tcW w:w="1194" w:type="dxa"/>
            <w:tcBorders>
              <w:top w:val="single" w:sz="4" w:space="0" w:color="auto"/>
            </w:tcBorders>
          </w:tcPr>
          <w:p w14:paraId="1EFDE4F1" w14:textId="77777777" w:rsidR="009E1D45" w:rsidRDefault="009E1D45" w:rsidP="001019DE">
            <w:pPr>
              <w:jc w:val="center"/>
              <w:rPr>
                <w:rFonts w:ascii="Times New Roman" w:hAnsi="Times New Roman" w:cs="Times New Roman"/>
              </w:rPr>
            </w:pPr>
            <w:r>
              <w:rPr>
                <w:rFonts w:ascii="Times New Roman" w:hAnsi="Times New Roman" w:cs="Times New Roman"/>
              </w:rPr>
              <w:t>N/A</w:t>
            </w:r>
          </w:p>
        </w:tc>
        <w:tc>
          <w:tcPr>
            <w:tcW w:w="1236" w:type="dxa"/>
            <w:tcBorders>
              <w:top w:val="single" w:sz="4" w:space="0" w:color="auto"/>
            </w:tcBorders>
          </w:tcPr>
          <w:p w14:paraId="0D44B870" w14:textId="77777777" w:rsidR="009E1D45" w:rsidRDefault="009E1D45" w:rsidP="001019DE">
            <w:pPr>
              <w:jc w:val="center"/>
              <w:rPr>
                <w:rFonts w:ascii="Times New Roman" w:hAnsi="Times New Roman" w:cs="Times New Roman"/>
              </w:rPr>
            </w:pPr>
            <w:r>
              <w:rPr>
                <w:rFonts w:ascii="Times New Roman" w:hAnsi="Times New Roman" w:cs="Times New Roman"/>
              </w:rPr>
              <w:t>N/A</w:t>
            </w:r>
          </w:p>
        </w:tc>
      </w:tr>
      <w:tr w:rsidR="009E1D45" w:rsidRPr="007D1576" w14:paraId="43B798F7" w14:textId="77777777" w:rsidTr="001019DE">
        <w:trPr>
          <w:trHeight w:val="275"/>
          <w:jc w:val="center"/>
        </w:trPr>
        <w:tc>
          <w:tcPr>
            <w:tcW w:w="1872" w:type="dxa"/>
            <w:tcBorders>
              <w:bottom w:val="single" w:sz="4" w:space="0" w:color="auto"/>
            </w:tcBorders>
          </w:tcPr>
          <w:p w14:paraId="43066C0D" w14:textId="77777777" w:rsidR="009E1D45" w:rsidRPr="007D1576" w:rsidRDefault="009E1D45" w:rsidP="001019DE">
            <w:pPr>
              <w:jc w:val="center"/>
              <w:rPr>
                <w:rFonts w:ascii="Times New Roman" w:hAnsi="Times New Roman" w:cs="Times New Roman"/>
              </w:rPr>
            </w:pPr>
            <w:r w:rsidRPr="007D1576">
              <w:rPr>
                <w:rFonts w:ascii="Times New Roman" w:hAnsi="Times New Roman" w:cs="Times New Roman"/>
              </w:rPr>
              <w:t>Observations</w:t>
            </w:r>
          </w:p>
        </w:tc>
        <w:tc>
          <w:tcPr>
            <w:tcW w:w="1236" w:type="dxa"/>
            <w:tcBorders>
              <w:bottom w:val="single" w:sz="4" w:space="0" w:color="auto"/>
            </w:tcBorders>
          </w:tcPr>
          <w:p w14:paraId="686C1140"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851</w:t>
            </w:r>
          </w:p>
        </w:tc>
        <w:tc>
          <w:tcPr>
            <w:tcW w:w="1236" w:type="dxa"/>
            <w:tcBorders>
              <w:bottom w:val="single" w:sz="4" w:space="0" w:color="auto"/>
            </w:tcBorders>
          </w:tcPr>
          <w:p w14:paraId="14DEBEFC"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738</w:t>
            </w:r>
          </w:p>
        </w:tc>
        <w:tc>
          <w:tcPr>
            <w:tcW w:w="1283" w:type="dxa"/>
            <w:tcBorders>
              <w:bottom w:val="single" w:sz="4" w:space="0" w:color="auto"/>
            </w:tcBorders>
          </w:tcPr>
          <w:p w14:paraId="40519141"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851</w:t>
            </w:r>
          </w:p>
        </w:tc>
        <w:tc>
          <w:tcPr>
            <w:tcW w:w="1243" w:type="dxa"/>
            <w:tcBorders>
              <w:bottom w:val="single" w:sz="4" w:space="0" w:color="auto"/>
            </w:tcBorders>
          </w:tcPr>
          <w:p w14:paraId="143E3DF0"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851</w:t>
            </w:r>
          </w:p>
        </w:tc>
        <w:tc>
          <w:tcPr>
            <w:tcW w:w="1236" w:type="dxa"/>
            <w:tcBorders>
              <w:bottom w:val="single" w:sz="4" w:space="0" w:color="auto"/>
            </w:tcBorders>
          </w:tcPr>
          <w:p w14:paraId="32DAD311"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851</w:t>
            </w:r>
          </w:p>
        </w:tc>
        <w:tc>
          <w:tcPr>
            <w:tcW w:w="1236" w:type="dxa"/>
            <w:tcBorders>
              <w:bottom w:val="single" w:sz="4" w:space="0" w:color="auto"/>
            </w:tcBorders>
          </w:tcPr>
          <w:p w14:paraId="0FDFF378"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851</w:t>
            </w:r>
          </w:p>
        </w:tc>
        <w:tc>
          <w:tcPr>
            <w:tcW w:w="1236" w:type="dxa"/>
            <w:tcBorders>
              <w:bottom w:val="single" w:sz="4" w:space="0" w:color="auto"/>
            </w:tcBorders>
          </w:tcPr>
          <w:p w14:paraId="1D8BF03A"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704</w:t>
            </w:r>
          </w:p>
        </w:tc>
        <w:tc>
          <w:tcPr>
            <w:tcW w:w="1236" w:type="dxa"/>
            <w:tcBorders>
              <w:bottom w:val="single" w:sz="4" w:space="0" w:color="auto"/>
            </w:tcBorders>
          </w:tcPr>
          <w:p w14:paraId="1C8BAC4D"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5597</w:t>
            </w:r>
          </w:p>
        </w:tc>
        <w:tc>
          <w:tcPr>
            <w:tcW w:w="1236" w:type="dxa"/>
            <w:tcBorders>
              <w:bottom w:val="single" w:sz="4" w:space="0" w:color="auto"/>
            </w:tcBorders>
          </w:tcPr>
          <w:p w14:paraId="355DC789"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579</w:t>
            </w:r>
          </w:p>
        </w:tc>
        <w:tc>
          <w:tcPr>
            <w:tcW w:w="1194" w:type="dxa"/>
            <w:tcBorders>
              <w:bottom w:val="single" w:sz="4" w:space="0" w:color="auto"/>
            </w:tcBorders>
          </w:tcPr>
          <w:p w14:paraId="69BCAA22" w14:textId="77777777" w:rsidR="009E1D45" w:rsidRPr="007D1576" w:rsidRDefault="009E1D45" w:rsidP="001019DE">
            <w:pPr>
              <w:jc w:val="center"/>
              <w:rPr>
                <w:rFonts w:ascii="Times New Roman" w:hAnsi="Times New Roman" w:cs="Times New Roman"/>
              </w:rPr>
            </w:pPr>
            <w:r>
              <w:rPr>
                <w:rFonts w:ascii="Times New Roman" w:hAnsi="Times New Roman" w:cs="Times New Roman"/>
                <w:kern w:val="0"/>
              </w:rPr>
              <w:t>704</w:t>
            </w:r>
          </w:p>
        </w:tc>
        <w:tc>
          <w:tcPr>
            <w:tcW w:w="1236" w:type="dxa"/>
            <w:tcBorders>
              <w:bottom w:val="single" w:sz="4" w:space="0" w:color="auto"/>
            </w:tcBorders>
          </w:tcPr>
          <w:p w14:paraId="05D7D29E" w14:textId="77777777" w:rsidR="009E1D45" w:rsidRDefault="009E1D45" w:rsidP="001019DE">
            <w:pPr>
              <w:jc w:val="center"/>
              <w:rPr>
                <w:rFonts w:ascii="Times New Roman" w:hAnsi="Times New Roman" w:cs="Times New Roman"/>
                <w:kern w:val="0"/>
              </w:rPr>
            </w:pPr>
            <w:r>
              <w:rPr>
                <w:rFonts w:ascii="Times New Roman" w:hAnsi="Times New Roman" w:cs="Times New Roman"/>
                <w:kern w:val="0"/>
              </w:rPr>
              <w:t>851</w:t>
            </w:r>
          </w:p>
        </w:tc>
      </w:tr>
    </w:tbl>
    <w:p w14:paraId="757423F4"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Robustness checks of average causal response estimates from Equation (1) aggregated using the weighted average of estimates in Equation (2). Dosage represents a continuous measure of the increase in the millage of the special education property tax in each ISD. All standard errors clustered at the ISD-level.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0.1,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0.05,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0.01</w:t>
      </w:r>
    </w:p>
    <w:p w14:paraId="03943AE2" w14:textId="77777777" w:rsidR="009E1D45" w:rsidRDefault="009E1D45" w:rsidP="009E1D45">
      <w:pPr>
        <w:jc w:val="center"/>
        <w:rPr>
          <w:rFonts w:ascii="Times New Roman" w:hAnsi="Times New Roman" w:cs="Times New Roman"/>
          <w:b/>
          <w:bCs/>
        </w:rPr>
      </w:pPr>
    </w:p>
    <w:p w14:paraId="68A3B183" w14:textId="77777777" w:rsidR="009E1D45" w:rsidRDefault="009E1D45" w:rsidP="009E1D45">
      <w:pPr>
        <w:jc w:val="center"/>
        <w:rPr>
          <w:rFonts w:ascii="Times New Roman" w:hAnsi="Times New Roman" w:cs="Times New Roman"/>
          <w:b/>
          <w:bCs/>
        </w:rPr>
      </w:pPr>
    </w:p>
    <w:p w14:paraId="6ADDDE61" w14:textId="77777777" w:rsidR="009E1D45" w:rsidRDefault="009E1D45" w:rsidP="009E1D45">
      <w:pPr>
        <w:jc w:val="center"/>
        <w:rPr>
          <w:rFonts w:ascii="Times New Roman" w:hAnsi="Times New Roman" w:cs="Times New Roman"/>
          <w:b/>
          <w:bCs/>
        </w:rPr>
      </w:pPr>
    </w:p>
    <w:p w14:paraId="5CA92FBD" w14:textId="77777777" w:rsidR="009E1D45" w:rsidRDefault="009E1D45" w:rsidP="009E1D45">
      <w:pPr>
        <w:jc w:val="center"/>
        <w:rPr>
          <w:rFonts w:ascii="Times New Roman" w:hAnsi="Times New Roman" w:cs="Times New Roman"/>
          <w:b/>
          <w:bCs/>
        </w:rPr>
      </w:pPr>
    </w:p>
    <w:p w14:paraId="61995347" w14:textId="77777777" w:rsidR="009E1D45" w:rsidRDefault="009E1D45" w:rsidP="009E1D45">
      <w:pPr>
        <w:jc w:val="center"/>
        <w:rPr>
          <w:rFonts w:ascii="Times New Roman" w:hAnsi="Times New Roman" w:cs="Times New Roman"/>
          <w:b/>
          <w:bCs/>
        </w:rPr>
      </w:pPr>
    </w:p>
    <w:p w14:paraId="521CC107" w14:textId="77777777" w:rsidR="009E1D45" w:rsidRDefault="009E1D45" w:rsidP="009E1D45">
      <w:pPr>
        <w:jc w:val="center"/>
        <w:rPr>
          <w:rFonts w:ascii="Times New Roman" w:hAnsi="Times New Roman" w:cs="Times New Roman"/>
          <w:b/>
          <w:bCs/>
        </w:rPr>
      </w:pPr>
    </w:p>
    <w:p w14:paraId="34261B83" w14:textId="77777777" w:rsidR="009E1D45" w:rsidRDefault="009E1D45" w:rsidP="009E1D45">
      <w:pPr>
        <w:jc w:val="center"/>
        <w:rPr>
          <w:rFonts w:ascii="Times New Roman" w:hAnsi="Times New Roman" w:cs="Times New Roman"/>
          <w:b/>
          <w:bCs/>
        </w:rPr>
      </w:pPr>
    </w:p>
    <w:p w14:paraId="34FA2EA2" w14:textId="77777777" w:rsidR="009E1D45" w:rsidRDefault="009E1D45" w:rsidP="009E1D45">
      <w:pPr>
        <w:rPr>
          <w:rFonts w:ascii="Times New Roman" w:hAnsi="Times New Roman" w:cs="Times New Roman"/>
          <w:b/>
          <w:bCs/>
        </w:rPr>
      </w:pPr>
    </w:p>
    <w:p w14:paraId="7CDBBF9C" w14:textId="77777777" w:rsidR="009E1D45" w:rsidRDefault="009E1D45" w:rsidP="009E1D45">
      <w:pPr>
        <w:rPr>
          <w:rFonts w:ascii="Times New Roman" w:hAnsi="Times New Roman" w:cs="Times New Roman"/>
          <w:b/>
          <w:bCs/>
        </w:rPr>
      </w:pPr>
    </w:p>
    <w:p w14:paraId="1552BDCF" w14:textId="77777777" w:rsidR="009E1D45" w:rsidRDefault="009E1D45" w:rsidP="009E1D45">
      <w:pPr>
        <w:rPr>
          <w:rFonts w:ascii="Times New Roman" w:hAnsi="Times New Roman" w:cs="Times New Roman"/>
          <w:b/>
          <w:bCs/>
        </w:rPr>
        <w:sectPr w:rsidR="009E1D45" w:rsidSect="009E1D45">
          <w:pgSz w:w="15840" w:h="12240" w:orient="landscape"/>
          <w:pgMar w:top="1440" w:right="1440" w:bottom="1440" w:left="1440" w:header="720" w:footer="720" w:gutter="0"/>
          <w:cols w:space="720"/>
          <w:docGrid w:linePitch="360"/>
        </w:sectPr>
      </w:pPr>
    </w:p>
    <w:p w14:paraId="22486486" w14:textId="77777777" w:rsidR="009E1D45" w:rsidRPr="00667704" w:rsidRDefault="009E1D45" w:rsidP="009E1D45">
      <w:pPr>
        <w:jc w:val="center"/>
        <w:rPr>
          <w:rFonts w:ascii="Times New Roman" w:hAnsi="Times New Roman" w:cs="Times New Roman"/>
          <w:b/>
          <w:bCs/>
        </w:rPr>
      </w:pPr>
      <w:r w:rsidRPr="00667704">
        <w:rPr>
          <w:rFonts w:ascii="Times New Roman" w:hAnsi="Times New Roman" w:cs="Times New Roman"/>
          <w:b/>
          <w:bCs/>
        </w:rPr>
        <w:lastRenderedPageBreak/>
        <w:t xml:space="preserve">Table </w:t>
      </w:r>
      <w:r>
        <w:rPr>
          <w:rFonts w:ascii="Times New Roman" w:hAnsi="Times New Roman" w:cs="Times New Roman"/>
          <w:b/>
          <w:bCs/>
        </w:rPr>
        <w:t>4</w:t>
      </w:r>
      <w:r w:rsidRPr="00667704">
        <w:rPr>
          <w:rFonts w:ascii="Times New Roman" w:hAnsi="Times New Roman" w:cs="Times New Roman"/>
          <w:b/>
          <w:bCs/>
        </w:rPr>
        <w:t xml:space="preserve">: Average Causal Response of </w:t>
      </w:r>
      <w:r>
        <w:rPr>
          <w:rFonts w:ascii="Times New Roman" w:hAnsi="Times New Roman" w:cs="Times New Roman"/>
          <w:b/>
          <w:bCs/>
        </w:rPr>
        <w:t xml:space="preserve">ISD-Level </w:t>
      </w:r>
      <w:r w:rsidRPr="00667704">
        <w:rPr>
          <w:rFonts w:ascii="Times New Roman" w:hAnsi="Times New Roman" w:cs="Times New Roman"/>
          <w:b/>
          <w:bCs/>
        </w:rPr>
        <w:t xml:space="preserve">Special Education </w:t>
      </w:r>
      <w:r>
        <w:rPr>
          <w:rFonts w:ascii="Times New Roman" w:hAnsi="Times New Roman" w:cs="Times New Roman"/>
          <w:b/>
          <w:bCs/>
        </w:rPr>
        <w:t>Expenditures and Transfers</w:t>
      </w:r>
      <w:r w:rsidRPr="00667704">
        <w:rPr>
          <w:rFonts w:ascii="Times New Roman" w:hAnsi="Times New Roman" w:cs="Times New Roman"/>
          <w:b/>
          <w:bCs/>
        </w:rPr>
        <w:t xml:space="preserve"> following </w:t>
      </w:r>
      <w:r>
        <w:rPr>
          <w:rFonts w:ascii="Times New Roman" w:hAnsi="Times New Roman" w:cs="Times New Roman"/>
          <w:b/>
          <w:bCs/>
        </w:rPr>
        <w:t>Earmarked Property Tax</w:t>
      </w:r>
      <w:r w:rsidRPr="00667704">
        <w:rPr>
          <w:rFonts w:ascii="Times New Roman" w:hAnsi="Times New Roman" w:cs="Times New Roman"/>
          <w:b/>
          <w:bCs/>
        </w:rPr>
        <w:t xml:space="preserve"> Increase</w:t>
      </w:r>
      <w:r>
        <w:rPr>
          <w:rFonts w:ascii="Times New Roman" w:hAnsi="Times New Roman" w:cs="Times New Roman"/>
          <w:b/>
          <w:bCs/>
        </w:rPr>
        <w:t>s</w:t>
      </w:r>
    </w:p>
    <w:tbl>
      <w:tblPr>
        <w:tblW w:w="10800" w:type="dxa"/>
        <w:tblInd w:w="-540" w:type="dxa"/>
        <w:tblLayout w:type="fixed"/>
        <w:tblLook w:val="0000" w:firstRow="0" w:lastRow="0" w:firstColumn="0" w:lastColumn="0" w:noHBand="0" w:noVBand="0"/>
      </w:tblPr>
      <w:tblGrid>
        <w:gridCol w:w="3156"/>
        <w:gridCol w:w="2016"/>
        <w:gridCol w:w="2016"/>
        <w:gridCol w:w="2016"/>
        <w:gridCol w:w="1596"/>
      </w:tblGrid>
      <w:tr w:rsidR="009E1D45" w14:paraId="7CB89FF4" w14:textId="77777777" w:rsidTr="001019DE">
        <w:tc>
          <w:tcPr>
            <w:tcW w:w="3156" w:type="dxa"/>
            <w:tcBorders>
              <w:top w:val="single" w:sz="4" w:space="0" w:color="auto"/>
              <w:left w:val="nil"/>
              <w:right w:val="nil"/>
            </w:tcBorders>
          </w:tcPr>
          <w:p w14:paraId="4E45369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4032" w:type="dxa"/>
            <w:gridSpan w:val="2"/>
            <w:tcBorders>
              <w:top w:val="single" w:sz="4" w:space="0" w:color="auto"/>
              <w:left w:val="nil"/>
              <w:right w:val="nil"/>
            </w:tcBorders>
          </w:tcPr>
          <w:p w14:paraId="504CAE8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Per Pupil Special Education Expenditures</w:t>
            </w:r>
          </w:p>
        </w:tc>
        <w:tc>
          <w:tcPr>
            <w:tcW w:w="3612" w:type="dxa"/>
            <w:gridSpan w:val="2"/>
            <w:tcBorders>
              <w:top w:val="single" w:sz="4" w:space="0" w:color="auto"/>
              <w:left w:val="nil"/>
              <w:right w:val="nil"/>
            </w:tcBorders>
          </w:tcPr>
          <w:p w14:paraId="28D133B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Per Pupil Transfers of Special Education Funding to Local School Districts</w:t>
            </w:r>
          </w:p>
        </w:tc>
      </w:tr>
      <w:tr w:rsidR="009E1D45" w14:paraId="1C61C808" w14:textId="77777777" w:rsidTr="001019DE">
        <w:tc>
          <w:tcPr>
            <w:tcW w:w="3156" w:type="dxa"/>
            <w:tcBorders>
              <w:left w:val="nil"/>
              <w:bottom w:val="nil"/>
              <w:right w:val="nil"/>
            </w:tcBorders>
          </w:tcPr>
          <w:p w14:paraId="51DD5C9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left w:val="nil"/>
              <w:bottom w:val="nil"/>
              <w:right w:val="nil"/>
            </w:tcBorders>
          </w:tcPr>
          <w:p w14:paraId="3436A80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w:t>
            </w:r>
          </w:p>
        </w:tc>
        <w:tc>
          <w:tcPr>
            <w:tcW w:w="2016" w:type="dxa"/>
            <w:tcBorders>
              <w:left w:val="nil"/>
              <w:bottom w:val="nil"/>
              <w:right w:val="nil"/>
            </w:tcBorders>
          </w:tcPr>
          <w:p w14:paraId="2FD83EA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w:t>
            </w:r>
          </w:p>
        </w:tc>
        <w:tc>
          <w:tcPr>
            <w:tcW w:w="2016" w:type="dxa"/>
            <w:tcBorders>
              <w:left w:val="nil"/>
              <w:bottom w:val="nil"/>
              <w:right w:val="nil"/>
            </w:tcBorders>
          </w:tcPr>
          <w:p w14:paraId="15E9468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w:t>
            </w:r>
          </w:p>
        </w:tc>
        <w:tc>
          <w:tcPr>
            <w:tcW w:w="1596" w:type="dxa"/>
            <w:tcBorders>
              <w:left w:val="nil"/>
              <w:bottom w:val="nil"/>
              <w:right w:val="nil"/>
            </w:tcBorders>
          </w:tcPr>
          <w:p w14:paraId="3144183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w:t>
            </w:r>
          </w:p>
        </w:tc>
      </w:tr>
      <w:tr w:rsidR="009E1D45" w14:paraId="3D3333E5" w14:textId="77777777" w:rsidTr="001019DE">
        <w:tc>
          <w:tcPr>
            <w:tcW w:w="3156" w:type="dxa"/>
            <w:tcBorders>
              <w:top w:val="single" w:sz="4" w:space="0" w:color="auto"/>
              <w:left w:val="nil"/>
              <w:bottom w:val="nil"/>
              <w:right w:val="nil"/>
            </w:tcBorders>
          </w:tcPr>
          <w:p w14:paraId="6E438A69"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ACR</w:t>
            </w:r>
          </w:p>
        </w:tc>
        <w:tc>
          <w:tcPr>
            <w:tcW w:w="2016" w:type="dxa"/>
            <w:tcBorders>
              <w:top w:val="single" w:sz="4" w:space="0" w:color="auto"/>
              <w:left w:val="nil"/>
              <w:bottom w:val="nil"/>
              <w:right w:val="nil"/>
            </w:tcBorders>
          </w:tcPr>
          <w:p w14:paraId="3021BE2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124.116</w:t>
            </w:r>
            <w:r>
              <w:rPr>
                <w:rFonts w:ascii="Times New Roman" w:hAnsi="Times New Roman" w:cs="Times New Roman"/>
                <w:kern w:val="0"/>
                <w:vertAlign w:val="superscript"/>
              </w:rPr>
              <w:t>*</w:t>
            </w:r>
          </w:p>
        </w:tc>
        <w:tc>
          <w:tcPr>
            <w:tcW w:w="2016" w:type="dxa"/>
            <w:tcBorders>
              <w:top w:val="single" w:sz="4" w:space="0" w:color="auto"/>
              <w:left w:val="nil"/>
              <w:bottom w:val="nil"/>
              <w:right w:val="nil"/>
            </w:tcBorders>
          </w:tcPr>
          <w:p w14:paraId="1987C5B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171.830</w:t>
            </w:r>
            <w:r>
              <w:rPr>
                <w:rFonts w:ascii="Times New Roman" w:hAnsi="Times New Roman" w:cs="Times New Roman"/>
                <w:kern w:val="0"/>
                <w:vertAlign w:val="superscript"/>
              </w:rPr>
              <w:t>***</w:t>
            </w:r>
          </w:p>
        </w:tc>
        <w:tc>
          <w:tcPr>
            <w:tcW w:w="2016" w:type="dxa"/>
            <w:tcBorders>
              <w:top w:val="single" w:sz="4" w:space="0" w:color="auto"/>
              <w:left w:val="nil"/>
              <w:bottom w:val="nil"/>
              <w:right w:val="nil"/>
            </w:tcBorders>
          </w:tcPr>
          <w:p w14:paraId="08B7D8A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191.189</w:t>
            </w:r>
            <w:r>
              <w:rPr>
                <w:rFonts w:ascii="Times New Roman" w:hAnsi="Times New Roman" w:cs="Times New Roman"/>
                <w:kern w:val="0"/>
                <w:vertAlign w:val="superscript"/>
              </w:rPr>
              <w:t>***</w:t>
            </w:r>
          </w:p>
        </w:tc>
        <w:tc>
          <w:tcPr>
            <w:tcW w:w="1596" w:type="dxa"/>
            <w:tcBorders>
              <w:top w:val="single" w:sz="4" w:space="0" w:color="auto"/>
              <w:left w:val="nil"/>
              <w:bottom w:val="nil"/>
              <w:right w:val="nil"/>
            </w:tcBorders>
          </w:tcPr>
          <w:p w14:paraId="0FFECE0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256.523</w:t>
            </w:r>
            <w:r>
              <w:rPr>
                <w:rFonts w:ascii="Times New Roman" w:hAnsi="Times New Roman" w:cs="Times New Roman"/>
                <w:kern w:val="0"/>
                <w:vertAlign w:val="superscript"/>
              </w:rPr>
              <w:t>***</w:t>
            </w:r>
          </w:p>
        </w:tc>
      </w:tr>
      <w:tr w:rsidR="009E1D45" w14:paraId="300A442D" w14:textId="77777777" w:rsidTr="001019DE">
        <w:tc>
          <w:tcPr>
            <w:tcW w:w="3156" w:type="dxa"/>
            <w:tcBorders>
              <w:top w:val="nil"/>
              <w:left w:val="nil"/>
              <w:bottom w:val="nil"/>
              <w:right w:val="nil"/>
            </w:tcBorders>
          </w:tcPr>
          <w:p w14:paraId="705A9EFF"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5F928F6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(63.365)</w:t>
            </w:r>
          </w:p>
        </w:tc>
        <w:tc>
          <w:tcPr>
            <w:tcW w:w="2016" w:type="dxa"/>
            <w:tcBorders>
              <w:top w:val="nil"/>
              <w:left w:val="nil"/>
              <w:bottom w:val="nil"/>
              <w:right w:val="nil"/>
            </w:tcBorders>
          </w:tcPr>
          <w:p w14:paraId="14952CE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(41.184)</w:t>
            </w:r>
          </w:p>
        </w:tc>
        <w:tc>
          <w:tcPr>
            <w:tcW w:w="2016" w:type="dxa"/>
            <w:tcBorders>
              <w:top w:val="nil"/>
              <w:left w:val="nil"/>
              <w:bottom w:val="nil"/>
              <w:right w:val="nil"/>
            </w:tcBorders>
          </w:tcPr>
          <w:p w14:paraId="39E9624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(67.448)</w:t>
            </w:r>
          </w:p>
        </w:tc>
        <w:tc>
          <w:tcPr>
            <w:tcW w:w="1596" w:type="dxa"/>
            <w:tcBorders>
              <w:top w:val="nil"/>
              <w:left w:val="nil"/>
              <w:bottom w:val="nil"/>
              <w:right w:val="nil"/>
            </w:tcBorders>
          </w:tcPr>
          <w:p w14:paraId="496B2F8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(25.656)</w:t>
            </w:r>
          </w:p>
        </w:tc>
      </w:tr>
      <w:tr w:rsidR="009E1D45" w14:paraId="226677EC" w14:textId="77777777" w:rsidTr="001019DE">
        <w:tc>
          <w:tcPr>
            <w:tcW w:w="3156" w:type="dxa"/>
            <w:tcBorders>
              <w:top w:val="nil"/>
              <w:left w:val="nil"/>
              <w:bottom w:val="nil"/>
              <w:right w:val="nil"/>
            </w:tcBorders>
          </w:tcPr>
          <w:p w14:paraId="14E643C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Female</w:t>
            </w:r>
          </w:p>
        </w:tc>
        <w:tc>
          <w:tcPr>
            <w:tcW w:w="2016" w:type="dxa"/>
            <w:tcBorders>
              <w:top w:val="nil"/>
              <w:left w:val="nil"/>
              <w:bottom w:val="nil"/>
              <w:right w:val="nil"/>
            </w:tcBorders>
          </w:tcPr>
          <w:p w14:paraId="60C3AD9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1794.992</w:t>
            </w:r>
          </w:p>
        </w:tc>
        <w:tc>
          <w:tcPr>
            <w:tcW w:w="2016" w:type="dxa"/>
            <w:tcBorders>
              <w:top w:val="nil"/>
              <w:left w:val="nil"/>
              <w:bottom w:val="nil"/>
              <w:right w:val="nil"/>
            </w:tcBorders>
          </w:tcPr>
          <w:p w14:paraId="4DE77AC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103.279</w:t>
            </w:r>
          </w:p>
        </w:tc>
        <w:tc>
          <w:tcPr>
            <w:tcW w:w="2016" w:type="dxa"/>
            <w:tcBorders>
              <w:top w:val="nil"/>
              <w:left w:val="nil"/>
              <w:bottom w:val="nil"/>
              <w:right w:val="nil"/>
            </w:tcBorders>
          </w:tcPr>
          <w:p w14:paraId="445F21D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934.966</w:t>
            </w:r>
          </w:p>
        </w:tc>
        <w:tc>
          <w:tcPr>
            <w:tcW w:w="1596" w:type="dxa"/>
            <w:tcBorders>
              <w:top w:val="nil"/>
              <w:left w:val="nil"/>
              <w:bottom w:val="nil"/>
              <w:right w:val="nil"/>
            </w:tcBorders>
          </w:tcPr>
          <w:p w14:paraId="10A1989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3705.856</w:t>
            </w:r>
          </w:p>
        </w:tc>
      </w:tr>
      <w:tr w:rsidR="009E1D45" w14:paraId="3018D2C1" w14:textId="77777777" w:rsidTr="001019DE">
        <w:tc>
          <w:tcPr>
            <w:tcW w:w="3156" w:type="dxa"/>
            <w:tcBorders>
              <w:top w:val="nil"/>
              <w:left w:val="nil"/>
              <w:bottom w:val="nil"/>
              <w:right w:val="nil"/>
            </w:tcBorders>
          </w:tcPr>
          <w:p w14:paraId="501367A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137B95F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(3221.721)</w:t>
            </w:r>
          </w:p>
        </w:tc>
        <w:tc>
          <w:tcPr>
            <w:tcW w:w="2016" w:type="dxa"/>
            <w:tcBorders>
              <w:top w:val="nil"/>
              <w:left w:val="nil"/>
              <w:bottom w:val="nil"/>
              <w:right w:val="nil"/>
            </w:tcBorders>
          </w:tcPr>
          <w:p w14:paraId="0734A54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(4307.454)</w:t>
            </w:r>
          </w:p>
        </w:tc>
        <w:tc>
          <w:tcPr>
            <w:tcW w:w="2016" w:type="dxa"/>
            <w:tcBorders>
              <w:top w:val="nil"/>
              <w:left w:val="nil"/>
              <w:bottom w:val="nil"/>
              <w:right w:val="nil"/>
            </w:tcBorders>
          </w:tcPr>
          <w:p w14:paraId="09B492D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(2593.371)</w:t>
            </w:r>
          </w:p>
        </w:tc>
        <w:tc>
          <w:tcPr>
            <w:tcW w:w="1596" w:type="dxa"/>
            <w:tcBorders>
              <w:top w:val="nil"/>
              <w:left w:val="nil"/>
              <w:bottom w:val="nil"/>
              <w:right w:val="nil"/>
            </w:tcBorders>
          </w:tcPr>
          <w:p w14:paraId="6F7329D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(2638.525)</w:t>
            </w:r>
          </w:p>
        </w:tc>
      </w:tr>
      <w:tr w:rsidR="009E1D45" w14:paraId="00C4851E" w14:textId="77777777" w:rsidTr="001019DE">
        <w:tc>
          <w:tcPr>
            <w:tcW w:w="3156" w:type="dxa"/>
            <w:tcBorders>
              <w:top w:val="nil"/>
              <w:left w:val="nil"/>
              <w:bottom w:val="nil"/>
              <w:right w:val="nil"/>
            </w:tcBorders>
          </w:tcPr>
          <w:p w14:paraId="435A120D"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w:t>
            </w:r>
            <w:proofErr w:type="gramStart"/>
            <w:r>
              <w:rPr>
                <w:rFonts w:ascii="Times New Roman" w:hAnsi="Times New Roman" w:cs="Times New Roman"/>
                <w:kern w:val="0"/>
              </w:rPr>
              <w:t>Non-White</w:t>
            </w:r>
            <w:proofErr w:type="gramEnd"/>
          </w:p>
        </w:tc>
        <w:tc>
          <w:tcPr>
            <w:tcW w:w="2016" w:type="dxa"/>
            <w:tcBorders>
              <w:top w:val="nil"/>
              <w:left w:val="nil"/>
              <w:bottom w:val="nil"/>
              <w:right w:val="nil"/>
            </w:tcBorders>
          </w:tcPr>
          <w:p w14:paraId="717351B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325.956</w:t>
            </w:r>
          </w:p>
        </w:tc>
        <w:tc>
          <w:tcPr>
            <w:tcW w:w="2016" w:type="dxa"/>
            <w:tcBorders>
              <w:top w:val="nil"/>
              <w:left w:val="nil"/>
              <w:bottom w:val="nil"/>
              <w:right w:val="nil"/>
            </w:tcBorders>
          </w:tcPr>
          <w:p w14:paraId="7011CC6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-373.698</w:t>
            </w:r>
          </w:p>
        </w:tc>
        <w:tc>
          <w:tcPr>
            <w:tcW w:w="2016" w:type="dxa"/>
            <w:tcBorders>
              <w:top w:val="nil"/>
              <w:left w:val="nil"/>
              <w:bottom w:val="nil"/>
              <w:right w:val="nil"/>
            </w:tcBorders>
          </w:tcPr>
          <w:p w14:paraId="75DAF11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51.066</w:t>
            </w:r>
          </w:p>
        </w:tc>
        <w:tc>
          <w:tcPr>
            <w:tcW w:w="1596" w:type="dxa"/>
            <w:tcBorders>
              <w:top w:val="nil"/>
              <w:left w:val="nil"/>
              <w:bottom w:val="nil"/>
              <w:right w:val="nil"/>
            </w:tcBorders>
          </w:tcPr>
          <w:p w14:paraId="6B60EF2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-1005.361</w:t>
            </w:r>
          </w:p>
        </w:tc>
      </w:tr>
      <w:tr w:rsidR="009E1D45" w14:paraId="59DFC45A" w14:textId="77777777" w:rsidTr="001019DE">
        <w:tc>
          <w:tcPr>
            <w:tcW w:w="3156" w:type="dxa"/>
            <w:tcBorders>
              <w:top w:val="nil"/>
              <w:left w:val="nil"/>
              <w:bottom w:val="nil"/>
              <w:right w:val="nil"/>
            </w:tcBorders>
          </w:tcPr>
          <w:p w14:paraId="0E33757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672D239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(929.303)</w:t>
            </w:r>
          </w:p>
        </w:tc>
        <w:tc>
          <w:tcPr>
            <w:tcW w:w="2016" w:type="dxa"/>
            <w:tcBorders>
              <w:top w:val="nil"/>
              <w:left w:val="nil"/>
              <w:bottom w:val="nil"/>
              <w:right w:val="nil"/>
            </w:tcBorders>
          </w:tcPr>
          <w:p w14:paraId="49BBAF1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(1036.419)</w:t>
            </w:r>
          </w:p>
        </w:tc>
        <w:tc>
          <w:tcPr>
            <w:tcW w:w="2016" w:type="dxa"/>
            <w:tcBorders>
              <w:top w:val="nil"/>
              <w:left w:val="nil"/>
              <w:bottom w:val="nil"/>
              <w:right w:val="nil"/>
            </w:tcBorders>
          </w:tcPr>
          <w:p w14:paraId="4038C2F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(1288.490)</w:t>
            </w:r>
          </w:p>
        </w:tc>
        <w:tc>
          <w:tcPr>
            <w:tcW w:w="1596" w:type="dxa"/>
            <w:tcBorders>
              <w:top w:val="nil"/>
              <w:left w:val="nil"/>
              <w:bottom w:val="nil"/>
              <w:right w:val="nil"/>
            </w:tcBorders>
          </w:tcPr>
          <w:p w14:paraId="5C9BA39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(807.400)</w:t>
            </w:r>
          </w:p>
        </w:tc>
      </w:tr>
      <w:tr w:rsidR="009E1D45" w14:paraId="13B4E917" w14:textId="77777777" w:rsidTr="001019DE">
        <w:tc>
          <w:tcPr>
            <w:tcW w:w="3156" w:type="dxa"/>
            <w:tcBorders>
              <w:top w:val="nil"/>
              <w:left w:val="nil"/>
              <w:bottom w:val="nil"/>
              <w:right w:val="nil"/>
            </w:tcBorders>
          </w:tcPr>
          <w:p w14:paraId="787C8B2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Econ. </w:t>
            </w:r>
            <w:proofErr w:type="spellStart"/>
            <w:r>
              <w:rPr>
                <w:rFonts w:ascii="Times New Roman" w:hAnsi="Times New Roman" w:cs="Times New Roman"/>
                <w:kern w:val="0"/>
              </w:rPr>
              <w:t>Disad</w:t>
            </w:r>
            <w:proofErr w:type="spellEnd"/>
            <w:r>
              <w:rPr>
                <w:rFonts w:ascii="Times New Roman" w:hAnsi="Times New Roman" w:cs="Times New Roman"/>
                <w:kern w:val="0"/>
              </w:rPr>
              <w:t>.</w:t>
            </w:r>
          </w:p>
        </w:tc>
        <w:tc>
          <w:tcPr>
            <w:tcW w:w="2016" w:type="dxa"/>
            <w:tcBorders>
              <w:top w:val="nil"/>
              <w:left w:val="nil"/>
              <w:bottom w:val="nil"/>
              <w:right w:val="nil"/>
            </w:tcBorders>
          </w:tcPr>
          <w:p w14:paraId="5CF27A6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-627.939</w:t>
            </w:r>
            <w:r>
              <w:rPr>
                <w:rFonts w:ascii="Times New Roman" w:hAnsi="Times New Roman" w:cs="Times New Roman"/>
                <w:kern w:val="0"/>
                <w:vertAlign w:val="superscript"/>
              </w:rPr>
              <w:t>*</w:t>
            </w:r>
          </w:p>
        </w:tc>
        <w:tc>
          <w:tcPr>
            <w:tcW w:w="2016" w:type="dxa"/>
            <w:tcBorders>
              <w:top w:val="nil"/>
              <w:left w:val="nil"/>
              <w:bottom w:val="nil"/>
              <w:right w:val="nil"/>
            </w:tcBorders>
          </w:tcPr>
          <w:p w14:paraId="5D4EC69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-731.859</w:t>
            </w:r>
            <w:r>
              <w:rPr>
                <w:rFonts w:ascii="Times New Roman" w:hAnsi="Times New Roman" w:cs="Times New Roman"/>
                <w:kern w:val="0"/>
                <w:vertAlign w:val="superscript"/>
              </w:rPr>
              <w:t>*</w:t>
            </w:r>
          </w:p>
        </w:tc>
        <w:tc>
          <w:tcPr>
            <w:tcW w:w="2016" w:type="dxa"/>
            <w:tcBorders>
              <w:top w:val="nil"/>
              <w:left w:val="nil"/>
              <w:bottom w:val="nil"/>
              <w:right w:val="nil"/>
            </w:tcBorders>
          </w:tcPr>
          <w:p w14:paraId="322479E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578.783</w:t>
            </w:r>
          </w:p>
        </w:tc>
        <w:tc>
          <w:tcPr>
            <w:tcW w:w="1596" w:type="dxa"/>
            <w:tcBorders>
              <w:top w:val="nil"/>
              <w:left w:val="nil"/>
              <w:bottom w:val="nil"/>
              <w:right w:val="nil"/>
            </w:tcBorders>
          </w:tcPr>
          <w:p w14:paraId="3C65427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501.672</w:t>
            </w:r>
          </w:p>
        </w:tc>
      </w:tr>
      <w:tr w:rsidR="009E1D45" w14:paraId="2F48FEC4" w14:textId="77777777" w:rsidTr="001019DE">
        <w:tc>
          <w:tcPr>
            <w:tcW w:w="3156" w:type="dxa"/>
            <w:tcBorders>
              <w:top w:val="nil"/>
              <w:left w:val="nil"/>
              <w:bottom w:val="nil"/>
              <w:right w:val="nil"/>
            </w:tcBorders>
          </w:tcPr>
          <w:p w14:paraId="1E5EE0DD"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38E5390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(333.901)</w:t>
            </w:r>
          </w:p>
        </w:tc>
        <w:tc>
          <w:tcPr>
            <w:tcW w:w="2016" w:type="dxa"/>
            <w:tcBorders>
              <w:top w:val="nil"/>
              <w:left w:val="nil"/>
              <w:bottom w:val="nil"/>
              <w:right w:val="nil"/>
            </w:tcBorders>
          </w:tcPr>
          <w:p w14:paraId="4CC9AAF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(428.940)</w:t>
            </w:r>
          </w:p>
        </w:tc>
        <w:tc>
          <w:tcPr>
            <w:tcW w:w="2016" w:type="dxa"/>
            <w:tcBorders>
              <w:top w:val="nil"/>
              <w:left w:val="nil"/>
              <w:bottom w:val="nil"/>
              <w:right w:val="nil"/>
            </w:tcBorders>
          </w:tcPr>
          <w:p w14:paraId="6FB0B55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(383.296)</w:t>
            </w:r>
          </w:p>
        </w:tc>
        <w:tc>
          <w:tcPr>
            <w:tcW w:w="1596" w:type="dxa"/>
            <w:tcBorders>
              <w:top w:val="nil"/>
              <w:left w:val="nil"/>
              <w:bottom w:val="nil"/>
              <w:right w:val="nil"/>
            </w:tcBorders>
          </w:tcPr>
          <w:p w14:paraId="692AF01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(407.542)</w:t>
            </w:r>
          </w:p>
        </w:tc>
      </w:tr>
      <w:tr w:rsidR="009E1D45" w14:paraId="07324692" w14:textId="77777777" w:rsidTr="001019DE">
        <w:tc>
          <w:tcPr>
            <w:tcW w:w="3156" w:type="dxa"/>
            <w:tcBorders>
              <w:top w:val="nil"/>
              <w:left w:val="nil"/>
              <w:bottom w:val="nil"/>
              <w:right w:val="nil"/>
            </w:tcBorders>
          </w:tcPr>
          <w:p w14:paraId="1E62745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SWD</w:t>
            </w:r>
          </w:p>
        </w:tc>
        <w:tc>
          <w:tcPr>
            <w:tcW w:w="2016" w:type="dxa"/>
            <w:tcBorders>
              <w:top w:val="nil"/>
              <w:left w:val="nil"/>
              <w:bottom w:val="nil"/>
              <w:right w:val="nil"/>
            </w:tcBorders>
          </w:tcPr>
          <w:p w14:paraId="42158D2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2055.262</w:t>
            </w:r>
            <w:r>
              <w:rPr>
                <w:rFonts w:ascii="Times New Roman" w:hAnsi="Times New Roman" w:cs="Times New Roman"/>
                <w:kern w:val="0"/>
                <w:vertAlign w:val="superscript"/>
              </w:rPr>
              <w:t>**</w:t>
            </w:r>
          </w:p>
        </w:tc>
        <w:tc>
          <w:tcPr>
            <w:tcW w:w="2016" w:type="dxa"/>
            <w:tcBorders>
              <w:top w:val="nil"/>
              <w:left w:val="nil"/>
              <w:bottom w:val="nil"/>
              <w:right w:val="nil"/>
            </w:tcBorders>
          </w:tcPr>
          <w:p w14:paraId="4FD5452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1020.842</w:t>
            </w:r>
          </w:p>
        </w:tc>
        <w:tc>
          <w:tcPr>
            <w:tcW w:w="2016" w:type="dxa"/>
            <w:tcBorders>
              <w:top w:val="nil"/>
              <w:left w:val="nil"/>
              <w:bottom w:val="nil"/>
              <w:right w:val="nil"/>
            </w:tcBorders>
          </w:tcPr>
          <w:p w14:paraId="43CA81D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-479.262</w:t>
            </w:r>
          </w:p>
        </w:tc>
        <w:tc>
          <w:tcPr>
            <w:tcW w:w="1596" w:type="dxa"/>
            <w:tcBorders>
              <w:top w:val="nil"/>
              <w:left w:val="nil"/>
              <w:bottom w:val="nil"/>
              <w:right w:val="nil"/>
            </w:tcBorders>
          </w:tcPr>
          <w:p w14:paraId="4AE325E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1517.210</w:t>
            </w:r>
            <w:r>
              <w:rPr>
                <w:rFonts w:ascii="Times New Roman" w:hAnsi="Times New Roman" w:cs="Times New Roman"/>
                <w:kern w:val="0"/>
                <w:vertAlign w:val="superscript"/>
              </w:rPr>
              <w:t>**</w:t>
            </w:r>
          </w:p>
        </w:tc>
      </w:tr>
      <w:tr w:rsidR="009E1D45" w14:paraId="63162492" w14:textId="77777777" w:rsidTr="001019DE">
        <w:tc>
          <w:tcPr>
            <w:tcW w:w="3156" w:type="dxa"/>
            <w:tcBorders>
              <w:top w:val="nil"/>
              <w:left w:val="nil"/>
              <w:bottom w:val="nil"/>
              <w:right w:val="nil"/>
            </w:tcBorders>
          </w:tcPr>
          <w:p w14:paraId="2ECA0A3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17F7664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(879.405)</w:t>
            </w:r>
          </w:p>
        </w:tc>
        <w:tc>
          <w:tcPr>
            <w:tcW w:w="2016" w:type="dxa"/>
            <w:tcBorders>
              <w:top w:val="nil"/>
              <w:left w:val="nil"/>
              <w:bottom w:val="nil"/>
              <w:right w:val="nil"/>
            </w:tcBorders>
          </w:tcPr>
          <w:p w14:paraId="091C954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(1218.017)</w:t>
            </w:r>
          </w:p>
        </w:tc>
        <w:tc>
          <w:tcPr>
            <w:tcW w:w="2016" w:type="dxa"/>
            <w:tcBorders>
              <w:top w:val="nil"/>
              <w:left w:val="nil"/>
              <w:bottom w:val="nil"/>
              <w:right w:val="nil"/>
            </w:tcBorders>
          </w:tcPr>
          <w:p w14:paraId="2896AD1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(1057.896)</w:t>
            </w:r>
          </w:p>
        </w:tc>
        <w:tc>
          <w:tcPr>
            <w:tcW w:w="1596" w:type="dxa"/>
            <w:tcBorders>
              <w:top w:val="nil"/>
              <w:left w:val="nil"/>
              <w:bottom w:val="nil"/>
              <w:right w:val="nil"/>
            </w:tcBorders>
          </w:tcPr>
          <w:p w14:paraId="377A1F7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(704.458)</w:t>
            </w:r>
          </w:p>
        </w:tc>
      </w:tr>
      <w:tr w:rsidR="009E1D45" w14:paraId="55A513FA" w14:textId="77777777" w:rsidTr="001019DE">
        <w:tc>
          <w:tcPr>
            <w:tcW w:w="3156" w:type="dxa"/>
            <w:tcBorders>
              <w:top w:val="nil"/>
              <w:left w:val="nil"/>
              <w:bottom w:val="nil"/>
              <w:right w:val="nil"/>
            </w:tcBorders>
          </w:tcPr>
          <w:p w14:paraId="6385D70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Log ISD Enrollment</w:t>
            </w:r>
          </w:p>
        </w:tc>
        <w:tc>
          <w:tcPr>
            <w:tcW w:w="2016" w:type="dxa"/>
            <w:tcBorders>
              <w:top w:val="nil"/>
              <w:left w:val="nil"/>
              <w:bottom w:val="nil"/>
              <w:right w:val="nil"/>
            </w:tcBorders>
          </w:tcPr>
          <w:p w14:paraId="2097B15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-835.562</w:t>
            </w:r>
            <w:r>
              <w:rPr>
                <w:rFonts w:ascii="Times New Roman" w:hAnsi="Times New Roman" w:cs="Times New Roman"/>
                <w:kern w:val="0"/>
                <w:vertAlign w:val="superscript"/>
              </w:rPr>
              <w:t>***</w:t>
            </w:r>
          </w:p>
        </w:tc>
        <w:tc>
          <w:tcPr>
            <w:tcW w:w="2016" w:type="dxa"/>
            <w:tcBorders>
              <w:top w:val="nil"/>
              <w:left w:val="nil"/>
              <w:bottom w:val="nil"/>
              <w:right w:val="nil"/>
            </w:tcBorders>
          </w:tcPr>
          <w:p w14:paraId="767A2E9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-535.116</w:t>
            </w:r>
          </w:p>
        </w:tc>
        <w:tc>
          <w:tcPr>
            <w:tcW w:w="2016" w:type="dxa"/>
            <w:tcBorders>
              <w:top w:val="nil"/>
              <w:left w:val="nil"/>
              <w:bottom w:val="nil"/>
              <w:right w:val="nil"/>
            </w:tcBorders>
          </w:tcPr>
          <w:p w14:paraId="485B341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-181.965</w:t>
            </w:r>
          </w:p>
        </w:tc>
        <w:tc>
          <w:tcPr>
            <w:tcW w:w="1596" w:type="dxa"/>
            <w:tcBorders>
              <w:top w:val="nil"/>
              <w:left w:val="nil"/>
              <w:bottom w:val="nil"/>
              <w:right w:val="nil"/>
            </w:tcBorders>
          </w:tcPr>
          <w:p w14:paraId="6DEA6EA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-450.713</w:t>
            </w:r>
          </w:p>
        </w:tc>
      </w:tr>
      <w:tr w:rsidR="009E1D45" w14:paraId="4716E973" w14:textId="77777777" w:rsidTr="001019DE">
        <w:tc>
          <w:tcPr>
            <w:tcW w:w="3156" w:type="dxa"/>
            <w:tcBorders>
              <w:top w:val="nil"/>
              <w:left w:val="nil"/>
              <w:bottom w:val="single" w:sz="4" w:space="0" w:color="auto"/>
              <w:right w:val="nil"/>
            </w:tcBorders>
          </w:tcPr>
          <w:p w14:paraId="38FC46F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single" w:sz="4" w:space="0" w:color="auto"/>
              <w:right w:val="nil"/>
            </w:tcBorders>
          </w:tcPr>
          <w:p w14:paraId="413A85A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(229.127)</w:t>
            </w:r>
          </w:p>
        </w:tc>
        <w:tc>
          <w:tcPr>
            <w:tcW w:w="2016" w:type="dxa"/>
            <w:tcBorders>
              <w:top w:val="nil"/>
              <w:left w:val="nil"/>
              <w:bottom w:val="single" w:sz="4" w:space="0" w:color="auto"/>
              <w:right w:val="nil"/>
            </w:tcBorders>
          </w:tcPr>
          <w:p w14:paraId="7D27674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(345.053)</w:t>
            </w:r>
          </w:p>
        </w:tc>
        <w:tc>
          <w:tcPr>
            <w:tcW w:w="2016" w:type="dxa"/>
            <w:tcBorders>
              <w:top w:val="nil"/>
              <w:left w:val="nil"/>
              <w:bottom w:val="single" w:sz="4" w:space="0" w:color="auto"/>
              <w:right w:val="nil"/>
            </w:tcBorders>
          </w:tcPr>
          <w:p w14:paraId="6BB1434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(224.848)</w:t>
            </w:r>
          </w:p>
        </w:tc>
        <w:tc>
          <w:tcPr>
            <w:tcW w:w="1596" w:type="dxa"/>
            <w:tcBorders>
              <w:top w:val="nil"/>
              <w:left w:val="nil"/>
              <w:bottom w:val="single" w:sz="4" w:space="0" w:color="auto"/>
              <w:right w:val="nil"/>
            </w:tcBorders>
          </w:tcPr>
          <w:p w14:paraId="0A6E5DF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(267.173)</w:t>
            </w:r>
          </w:p>
        </w:tc>
      </w:tr>
      <w:tr w:rsidR="009E1D45" w14:paraId="37C78F1E" w14:textId="77777777" w:rsidTr="001019DE">
        <w:tc>
          <w:tcPr>
            <w:tcW w:w="3156" w:type="dxa"/>
            <w:tcBorders>
              <w:top w:val="single" w:sz="4" w:space="0" w:color="auto"/>
              <w:left w:val="nil"/>
              <w:right w:val="nil"/>
            </w:tcBorders>
          </w:tcPr>
          <w:p w14:paraId="5506C72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Millage Rate Functional Form</w:t>
            </w:r>
          </w:p>
        </w:tc>
        <w:tc>
          <w:tcPr>
            <w:tcW w:w="2016" w:type="dxa"/>
            <w:tcBorders>
              <w:top w:val="single" w:sz="4" w:space="0" w:color="auto"/>
              <w:left w:val="nil"/>
              <w:right w:val="nil"/>
            </w:tcBorders>
          </w:tcPr>
          <w:p w14:paraId="00121B7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Linear</w:t>
            </w:r>
          </w:p>
        </w:tc>
        <w:tc>
          <w:tcPr>
            <w:tcW w:w="2016" w:type="dxa"/>
            <w:tcBorders>
              <w:top w:val="single" w:sz="4" w:space="0" w:color="auto"/>
              <w:left w:val="nil"/>
              <w:right w:val="nil"/>
            </w:tcBorders>
          </w:tcPr>
          <w:p w14:paraId="51B4CCA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Quadratic</w:t>
            </w:r>
          </w:p>
        </w:tc>
        <w:tc>
          <w:tcPr>
            <w:tcW w:w="2016" w:type="dxa"/>
            <w:tcBorders>
              <w:top w:val="single" w:sz="4" w:space="0" w:color="auto"/>
              <w:left w:val="nil"/>
              <w:right w:val="nil"/>
            </w:tcBorders>
          </w:tcPr>
          <w:p w14:paraId="201CA28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Linear</w:t>
            </w:r>
          </w:p>
        </w:tc>
        <w:tc>
          <w:tcPr>
            <w:tcW w:w="1596" w:type="dxa"/>
            <w:tcBorders>
              <w:top w:val="single" w:sz="4" w:space="0" w:color="auto"/>
              <w:left w:val="nil"/>
              <w:right w:val="nil"/>
            </w:tcBorders>
          </w:tcPr>
          <w:p w14:paraId="0594C7F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Quadratic</w:t>
            </w:r>
          </w:p>
        </w:tc>
      </w:tr>
      <w:tr w:rsidR="009E1D45" w14:paraId="087AB262" w14:textId="77777777" w:rsidTr="001019DE">
        <w:tc>
          <w:tcPr>
            <w:tcW w:w="3156" w:type="dxa"/>
            <w:tcBorders>
              <w:left w:val="nil"/>
              <w:bottom w:val="single" w:sz="4" w:space="0" w:color="auto"/>
              <w:right w:val="nil"/>
            </w:tcBorders>
          </w:tcPr>
          <w:p w14:paraId="7DCA439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Observations</w:t>
            </w:r>
          </w:p>
        </w:tc>
        <w:tc>
          <w:tcPr>
            <w:tcW w:w="2016" w:type="dxa"/>
            <w:tcBorders>
              <w:left w:val="nil"/>
              <w:bottom w:val="single" w:sz="4" w:space="0" w:color="auto"/>
              <w:right w:val="nil"/>
            </w:tcBorders>
          </w:tcPr>
          <w:p w14:paraId="538F116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c>
          <w:tcPr>
            <w:tcW w:w="2016" w:type="dxa"/>
            <w:tcBorders>
              <w:left w:val="nil"/>
              <w:bottom w:val="single" w:sz="4" w:space="0" w:color="auto"/>
              <w:right w:val="nil"/>
            </w:tcBorders>
          </w:tcPr>
          <w:p w14:paraId="329C774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643</w:t>
            </w:r>
          </w:p>
        </w:tc>
        <w:tc>
          <w:tcPr>
            <w:tcW w:w="2016" w:type="dxa"/>
            <w:tcBorders>
              <w:left w:val="nil"/>
              <w:bottom w:val="single" w:sz="4" w:space="0" w:color="auto"/>
              <w:right w:val="nil"/>
            </w:tcBorders>
          </w:tcPr>
          <w:p w14:paraId="3798181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c>
          <w:tcPr>
            <w:tcW w:w="1596" w:type="dxa"/>
            <w:tcBorders>
              <w:left w:val="nil"/>
              <w:bottom w:val="single" w:sz="4" w:space="0" w:color="auto"/>
              <w:right w:val="nil"/>
            </w:tcBorders>
          </w:tcPr>
          <w:p w14:paraId="60DFE5A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643</w:t>
            </w:r>
          </w:p>
        </w:tc>
      </w:tr>
    </w:tbl>
    <w:p w14:paraId="661A043C"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Average causal response estimates from Equation (1) aggregated using the weighted average of estimates in Equation (2). Dosage represents a continuous measure of the increase in the millage of the special education property tax in each ISD. Columns (1) and (2) present estimates from models with the dosage in a linear functional form, and columns (3) and (4) present models with a quadratic functional form. All standard errors clustered at the ISD-level and unconditional on covariates.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0.1,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0.05,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0.01</w:t>
      </w:r>
    </w:p>
    <w:p w14:paraId="0F215934" w14:textId="77777777" w:rsidR="009E1D45" w:rsidRPr="00667704" w:rsidRDefault="009E1D45" w:rsidP="009E1D45">
      <w:pPr>
        <w:rPr>
          <w:rFonts w:ascii="Times New Roman" w:hAnsi="Times New Roman" w:cs="Times New Roman"/>
        </w:rPr>
      </w:pPr>
    </w:p>
    <w:p w14:paraId="0D67C67B" w14:textId="77777777" w:rsidR="009E1D45" w:rsidRDefault="009E1D45" w:rsidP="009E1D45">
      <w:pPr>
        <w:rPr>
          <w:rFonts w:ascii="Times New Roman" w:hAnsi="Times New Roman" w:cs="Times New Roman"/>
        </w:rPr>
      </w:pPr>
    </w:p>
    <w:p w14:paraId="61362510" w14:textId="77777777" w:rsidR="009E1D45" w:rsidRDefault="009E1D45" w:rsidP="009E1D45">
      <w:pPr>
        <w:rPr>
          <w:rFonts w:ascii="Times New Roman" w:hAnsi="Times New Roman" w:cs="Times New Roman"/>
        </w:rPr>
      </w:pPr>
    </w:p>
    <w:p w14:paraId="7538C27B" w14:textId="77777777" w:rsidR="009E1D45" w:rsidRDefault="009E1D45" w:rsidP="009E1D45">
      <w:pPr>
        <w:rPr>
          <w:rFonts w:ascii="Times New Roman" w:hAnsi="Times New Roman" w:cs="Times New Roman"/>
        </w:rPr>
      </w:pPr>
    </w:p>
    <w:p w14:paraId="1D89E990" w14:textId="77777777" w:rsidR="009E1D45" w:rsidRDefault="009E1D45" w:rsidP="009E1D45">
      <w:pPr>
        <w:rPr>
          <w:rFonts w:ascii="Times New Roman" w:hAnsi="Times New Roman" w:cs="Times New Roman"/>
        </w:rPr>
      </w:pPr>
    </w:p>
    <w:p w14:paraId="4ED1FCF9" w14:textId="77777777" w:rsidR="009E1D45" w:rsidRDefault="009E1D45" w:rsidP="009E1D45">
      <w:pPr>
        <w:rPr>
          <w:rFonts w:ascii="Times New Roman" w:hAnsi="Times New Roman" w:cs="Times New Roman"/>
        </w:rPr>
      </w:pPr>
    </w:p>
    <w:p w14:paraId="68E2B71E" w14:textId="77777777" w:rsidR="009E1D45" w:rsidRDefault="009E1D45" w:rsidP="009E1D45">
      <w:pPr>
        <w:rPr>
          <w:rFonts w:ascii="Times New Roman" w:hAnsi="Times New Roman" w:cs="Times New Roman"/>
        </w:rPr>
      </w:pPr>
    </w:p>
    <w:p w14:paraId="5C97F1DB" w14:textId="77777777" w:rsidR="009E1D45" w:rsidRDefault="009E1D45" w:rsidP="009E1D45">
      <w:pPr>
        <w:rPr>
          <w:rFonts w:ascii="Times New Roman" w:hAnsi="Times New Roman" w:cs="Times New Roman"/>
        </w:rPr>
      </w:pPr>
    </w:p>
    <w:p w14:paraId="4C265758" w14:textId="77777777" w:rsidR="009E1D45" w:rsidRDefault="009E1D45" w:rsidP="009E1D45">
      <w:pPr>
        <w:rPr>
          <w:rFonts w:ascii="Times New Roman" w:hAnsi="Times New Roman" w:cs="Times New Roman"/>
        </w:rPr>
      </w:pPr>
    </w:p>
    <w:p w14:paraId="75F19D50" w14:textId="77777777" w:rsidR="009E1D45" w:rsidRDefault="009E1D45" w:rsidP="009E1D45">
      <w:pPr>
        <w:rPr>
          <w:rFonts w:ascii="Times New Roman" w:hAnsi="Times New Roman" w:cs="Times New Roman"/>
        </w:rPr>
      </w:pPr>
    </w:p>
    <w:p w14:paraId="512CF7CE" w14:textId="77777777" w:rsidR="009E1D45" w:rsidRDefault="009E1D45" w:rsidP="009E1D45">
      <w:pPr>
        <w:rPr>
          <w:rFonts w:ascii="Times New Roman" w:hAnsi="Times New Roman" w:cs="Times New Roman"/>
        </w:rPr>
      </w:pPr>
    </w:p>
    <w:p w14:paraId="452B6956" w14:textId="77777777" w:rsidR="009E1D45" w:rsidRDefault="009E1D45" w:rsidP="009E1D45">
      <w:pPr>
        <w:rPr>
          <w:rFonts w:ascii="Times New Roman" w:hAnsi="Times New Roman" w:cs="Times New Roman"/>
        </w:rPr>
      </w:pPr>
    </w:p>
    <w:p w14:paraId="2D74D75E" w14:textId="77777777" w:rsidR="009E1D45" w:rsidRPr="006F73E5" w:rsidRDefault="009E1D45" w:rsidP="009E1D45">
      <w:pPr>
        <w:jc w:val="center"/>
        <w:rPr>
          <w:rFonts w:ascii="Times New Roman" w:hAnsi="Times New Roman" w:cs="Times New Roman"/>
          <w:b/>
          <w:bCs/>
        </w:rPr>
      </w:pPr>
      <w:r w:rsidRPr="00DC52DF">
        <w:rPr>
          <w:rFonts w:ascii="Times New Roman" w:hAnsi="Times New Roman" w:cs="Times New Roman"/>
          <w:b/>
          <w:bCs/>
        </w:rPr>
        <w:lastRenderedPageBreak/>
        <w:t xml:space="preserve">Figure </w:t>
      </w:r>
      <w:r>
        <w:rPr>
          <w:rFonts w:ascii="Times New Roman" w:hAnsi="Times New Roman" w:cs="Times New Roman"/>
          <w:b/>
          <w:bCs/>
        </w:rPr>
        <w:t>6</w:t>
      </w:r>
      <w:r w:rsidRPr="00DC52DF">
        <w:rPr>
          <w:rFonts w:ascii="Times New Roman" w:hAnsi="Times New Roman" w:cs="Times New Roman"/>
          <w:b/>
          <w:bCs/>
        </w:rPr>
        <w:t>: Event Stud</w:t>
      </w:r>
      <w:r>
        <w:rPr>
          <w:rFonts w:ascii="Times New Roman" w:hAnsi="Times New Roman" w:cs="Times New Roman"/>
          <w:b/>
          <w:bCs/>
        </w:rPr>
        <w:t>y</w:t>
      </w:r>
      <w:r w:rsidRPr="00DC52DF">
        <w:rPr>
          <w:rFonts w:ascii="Times New Roman" w:hAnsi="Times New Roman" w:cs="Times New Roman"/>
          <w:b/>
          <w:bCs/>
        </w:rPr>
        <w:t xml:space="preserve"> of </w:t>
      </w:r>
      <w:r>
        <w:rPr>
          <w:rFonts w:ascii="Times New Roman" w:hAnsi="Times New Roman" w:cs="Times New Roman"/>
          <w:b/>
          <w:bCs/>
        </w:rPr>
        <w:t xml:space="preserve">ISD-Level </w:t>
      </w:r>
      <w:r w:rsidRPr="00DC52DF">
        <w:rPr>
          <w:rFonts w:ascii="Times New Roman" w:hAnsi="Times New Roman" w:cs="Times New Roman"/>
          <w:b/>
          <w:bCs/>
        </w:rPr>
        <w:t xml:space="preserve">Per Pupil Special Education </w:t>
      </w:r>
      <w:r>
        <w:rPr>
          <w:rFonts w:ascii="Times New Roman" w:hAnsi="Times New Roman" w:cs="Times New Roman"/>
          <w:b/>
          <w:bCs/>
        </w:rPr>
        <w:t>Expenditures following Earmarked Property Tax Increase</w:t>
      </w:r>
      <w:r>
        <w:rPr>
          <w:rFonts w:ascii="Times New Roman" w:hAnsi="Times New Roman" w:cs="Times New Roman"/>
          <w:b/>
          <w:bCs/>
          <w:noProof/>
        </w:rPr>
        <w:drawing>
          <wp:inline distT="0" distB="0" distL="0" distR="0" wp14:anchorId="25E632E7" wp14:editId="43F2C143">
            <wp:extent cx="5943600" cy="2967355"/>
            <wp:effectExtent l="0" t="0" r="0" b="4445"/>
            <wp:docPr id="8173196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19638" name="Picture 817319638"/>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767703CB"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Notes</w:t>
      </w:r>
      <w:r>
        <w:rPr>
          <w:rFonts w:ascii="Times New Roman" w:hAnsi="Times New Roman" w:cs="Times New Roman"/>
          <w:i/>
          <w:iCs/>
          <w:sz w:val="20"/>
          <w:szCs w:val="20"/>
        </w:rPr>
        <w:t>: Event study estimates and 95% confidence intervals of the effects of local property tax increases on ISD-level special education expenditures from Equation (3). This model uses a linear functional form for the dosage of treatment and includes all covariates. All standard errors clustered at the ISD-level and unconditional on covariates.</w:t>
      </w:r>
    </w:p>
    <w:p w14:paraId="4ED969FF" w14:textId="77777777" w:rsidR="009E1D45" w:rsidRDefault="009E1D45" w:rsidP="009E1D45">
      <w:pPr>
        <w:rPr>
          <w:rFonts w:ascii="Times New Roman" w:hAnsi="Times New Roman" w:cs="Times New Roman"/>
        </w:rPr>
      </w:pPr>
    </w:p>
    <w:p w14:paraId="05C44105" w14:textId="77777777" w:rsidR="009E1D45" w:rsidRDefault="009E1D45" w:rsidP="009E1D45">
      <w:pPr>
        <w:rPr>
          <w:rFonts w:ascii="Times New Roman" w:hAnsi="Times New Roman" w:cs="Times New Roman"/>
        </w:rPr>
      </w:pPr>
    </w:p>
    <w:p w14:paraId="54FF0713" w14:textId="77777777" w:rsidR="009E1D45" w:rsidRDefault="009E1D45" w:rsidP="009E1D45">
      <w:pPr>
        <w:rPr>
          <w:rFonts w:ascii="Times New Roman" w:hAnsi="Times New Roman" w:cs="Times New Roman"/>
        </w:rPr>
      </w:pPr>
    </w:p>
    <w:p w14:paraId="56BF4ED3" w14:textId="77777777" w:rsidR="009E1D45" w:rsidRDefault="009E1D45" w:rsidP="009E1D45">
      <w:pPr>
        <w:rPr>
          <w:rFonts w:ascii="Times New Roman" w:hAnsi="Times New Roman" w:cs="Times New Roman"/>
        </w:rPr>
      </w:pPr>
    </w:p>
    <w:p w14:paraId="043FD637" w14:textId="77777777" w:rsidR="009E1D45" w:rsidRDefault="009E1D45" w:rsidP="009E1D45">
      <w:pPr>
        <w:rPr>
          <w:rFonts w:ascii="Times New Roman" w:hAnsi="Times New Roman" w:cs="Times New Roman"/>
        </w:rPr>
      </w:pPr>
    </w:p>
    <w:p w14:paraId="20099C21" w14:textId="77777777" w:rsidR="009E1D45" w:rsidRDefault="009E1D45" w:rsidP="009E1D45">
      <w:pPr>
        <w:rPr>
          <w:rFonts w:ascii="Times New Roman" w:hAnsi="Times New Roman" w:cs="Times New Roman"/>
        </w:rPr>
      </w:pPr>
    </w:p>
    <w:p w14:paraId="2BB74E8B" w14:textId="77777777" w:rsidR="009E1D45" w:rsidRDefault="009E1D45" w:rsidP="009E1D45">
      <w:pPr>
        <w:rPr>
          <w:rFonts w:ascii="Times New Roman" w:hAnsi="Times New Roman" w:cs="Times New Roman"/>
        </w:rPr>
      </w:pPr>
    </w:p>
    <w:p w14:paraId="324CF8F2" w14:textId="77777777" w:rsidR="009E1D45" w:rsidRDefault="009E1D45" w:rsidP="009E1D45">
      <w:pPr>
        <w:rPr>
          <w:rFonts w:ascii="Times New Roman" w:hAnsi="Times New Roman" w:cs="Times New Roman"/>
        </w:rPr>
      </w:pPr>
    </w:p>
    <w:p w14:paraId="4DF73C92" w14:textId="77777777" w:rsidR="009E1D45" w:rsidRDefault="009E1D45" w:rsidP="009E1D45">
      <w:pPr>
        <w:rPr>
          <w:rFonts w:ascii="Times New Roman" w:hAnsi="Times New Roman" w:cs="Times New Roman"/>
        </w:rPr>
      </w:pPr>
    </w:p>
    <w:p w14:paraId="20DB9305" w14:textId="77777777" w:rsidR="009E1D45" w:rsidRDefault="009E1D45" w:rsidP="009E1D45">
      <w:pPr>
        <w:rPr>
          <w:rFonts w:ascii="Times New Roman" w:hAnsi="Times New Roman" w:cs="Times New Roman"/>
        </w:rPr>
      </w:pPr>
    </w:p>
    <w:p w14:paraId="22A3E276" w14:textId="77777777" w:rsidR="009E1D45" w:rsidRDefault="009E1D45" w:rsidP="009E1D45">
      <w:pPr>
        <w:rPr>
          <w:rFonts w:ascii="Times New Roman" w:hAnsi="Times New Roman" w:cs="Times New Roman"/>
        </w:rPr>
      </w:pPr>
    </w:p>
    <w:p w14:paraId="043392D3" w14:textId="77777777" w:rsidR="009E1D45" w:rsidRDefault="009E1D45" w:rsidP="009E1D45">
      <w:pPr>
        <w:rPr>
          <w:rFonts w:ascii="Times New Roman" w:hAnsi="Times New Roman" w:cs="Times New Roman"/>
        </w:rPr>
      </w:pPr>
    </w:p>
    <w:p w14:paraId="499466D8" w14:textId="77777777" w:rsidR="009E1D45" w:rsidRDefault="009E1D45" w:rsidP="009E1D45">
      <w:pPr>
        <w:rPr>
          <w:rFonts w:ascii="Times New Roman" w:hAnsi="Times New Roman" w:cs="Times New Roman"/>
        </w:rPr>
      </w:pPr>
    </w:p>
    <w:p w14:paraId="5D3A3D2A" w14:textId="77777777" w:rsidR="009E1D45" w:rsidRDefault="009E1D45" w:rsidP="009E1D45">
      <w:pPr>
        <w:rPr>
          <w:rFonts w:ascii="Times New Roman" w:hAnsi="Times New Roman" w:cs="Times New Roman"/>
        </w:rPr>
      </w:pPr>
    </w:p>
    <w:p w14:paraId="1E496627" w14:textId="77777777" w:rsidR="009E1D45" w:rsidRPr="00667704" w:rsidRDefault="009E1D45" w:rsidP="009E1D45">
      <w:pPr>
        <w:jc w:val="center"/>
        <w:rPr>
          <w:rFonts w:ascii="Times New Roman" w:hAnsi="Times New Roman" w:cs="Times New Roman"/>
          <w:b/>
          <w:bCs/>
        </w:rPr>
      </w:pPr>
      <w:r w:rsidRPr="00667704">
        <w:rPr>
          <w:rFonts w:ascii="Times New Roman" w:hAnsi="Times New Roman" w:cs="Times New Roman"/>
          <w:b/>
          <w:bCs/>
        </w:rPr>
        <w:lastRenderedPageBreak/>
        <w:t xml:space="preserve">Table </w:t>
      </w:r>
      <w:r>
        <w:rPr>
          <w:rFonts w:ascii="Times New Roman" w:hAnsi="Times New Roman" w:cs="Times New Roman"/>
          <w:b/>
          <w:bCs/>
        </w:rPr>
        <w:t>5</w:t>
      </w:r>
      <w:r w:rsidRPr="00667704">
        <w:rPr>
          <w:rFonts w:ascii="Times New Roman" w:hAnsi="Times New Roman" w:cs="Times New Roman"/>
          <w:b/>
          <w:bCs/>
        </w:rPr>
        <w:t xml:space="preserve">: Average Causal Response of </w:t>
      </w:r>
      <w:r>
        <w:rPr>
          <w:rFonts w:ascii="Times New Roman" w:hAnsi="Times New Roman" w:cs="Times New Roman"/>
          <w:b/>
          <w:bCs/>
        </w:rPr>
        <w:t xml:space="preserve">School District-Level </w:t>
      </w:r>
      <w:r w:rsidRPr="00667704">
        <w:rPr>
          <w:rFonts w:ascii="Times New Roman" w:hAnsi="Times New Roman" w:cs="Times New Roman"/>
          <w:b/>
          <w:bCs/>
        </w:rPr>
        <w:t xml:space="preserve">Special Education </w:t>
      </w:r>
      <w:r>
        <w:rPr>
          <w:rFonts w:ascii="Times New Roman" w:hAnsi="Times New Roman" w:cs="Times New Roman"/>
          <w:b/>
          <w:bCs/>
        </w:rPr>
        <w:t xml:space="preserve">Expenditures </w:t>
      </w:r>
      <w:r w:rsidRPr="00667704">
        <w:rPr>
          <w:rFonts w:ascii="Times New Roman" w:hAnsi="Times New Roman" w:cs="Times New Roman"/>
          <w:b/>
          <w:bCs/>
        </w:rPr>
        <w:t xml:space="preserve">following </w:t>
      </w:r>
      <w:r>
        <w:rPr>
          <w:rFonts w:ascii="Times New Roman" w:hAnsi="Times New Roman" w:cs="Times New Roman"/>
          <w:b/>
          <w:bCs/>
        </w:rPr>
        <w:t>Earmarked Property Tax</w:t>
      </w:r>
      <w:r w:rsidRPr="00667704">
        <w:rPr>
          <w:rFonts w:ascii="Times New Roman" w:hAnsi="Times New Roman" w:cs="Times New Roman"/>
          <w:b/>
          <w:bCs/>
        </w:rPr>
        <w:t xml:space="preserve"> Increase</w:t>
      </w:r>
      <w:r>
        <w:rPr>
          <w:rFonts w:ascii="Times New Roman" w:hAnsi="Times New Roman" w:cs="Times New Roman"/>
          <w:b/>
          <w:bCs/>
        </w:rPr>
        <w:t>s</w:t>
      </w:r>
    </w:p>
    <w:tbl>
      <w:tblPr>
        <w:tblW w:w="10800" w:type="dxa"/>
        <w:tblInd w:w="-540" w:type="dxa"/>
        <w:tblLayout w:type="fixed"/>
        <w:tblLook w:val="0000" w:firstRow="0" w:lastRow="0" w:firstColumn="0" w:lastColumn="0" w:noHBand="0" w:noVBand="0"/>
      </w:tblPr>
      <w:tblGrid>
        <w:gridCol w:w="3156"/>
        <w:gridCol w:w="2016"/>
        <w:gridCol w:w="2016"/>
        <w:gridCol w:w="2016"/>
        <w:gridCol w:w="1596"/>
      </w:tblGrid>
      <w:tr w:rsidR="009E1D45" w14:paraId="4FE73905" w14:textId="77777777" w:rsidTr="001019DE">
        <w:tc>
          <w:tcPr>
            <w:tcW w:w="3156" w:type="dxa"/>
            <w:tcBorders>
              <w:top w:val="single" w:sz="4" w:space="0" w:color="auto"/>
              <w:left w:val="nil"/>
              <w:right w:val="nil"/>
            </w:tcBorders>
          </w:tcPr>
          <w:p w14:paraId="00E09D3F"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4032" w:type="dxa"/>
            <w:gridSpan w:val="2"/>
            <w:tcBorders>
              <w:top w:val="single" w:sz="4" w:space="0" w:color="auto"/>
              <w:left w:val="nil"/>
              <w:right w:val="nil"/>
            </w:tcBorders>
          </w:tcPr>
          <w:p w14:paraId="43FD1A6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Per Pupil Special Education Expenditures</w:t>
            </w:r>
          </w:p>
        </w:tc>
        <w:tc>
          <w:tcPr>
            <w:tcW w:w="3612" w:type="dxa"/>
            <w:gridSpan w:val="2"/>
            <w:tcBorders>
              <w:top w:val="single" w:sz="4" w:space="0" w:color="auto"/>
              <w:left w:val="nil"/>
              <w:right w:val="nil"/>
            </w:tcBorders>
          </w:tcPr>
          <w:p w14:paraId="5FEADB2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Per Pupil Non-Special Education Expenditures</w:t>
            </w:r>
          </w:p>
        </w:tc>
      </w:tr>
      <w:tr w:rsidR="009E1D45" w14:paraId="440A3ACA" w14:textId="77777777" w:rsidTr="001019DE">
        <w:tc>
          <w:tcPr>
            <w:tcW w:w="3156" w:type="dxa"/>
            <w:tcBorders>
              <w:left w:val="nil"/>
              <w:bottom w:val="nil"/>
              <w:right w:val="nil"/>
            </w:tcBorders>
          </w:tcPr>
          <w:p w14:paraId="74834F5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left w:val="nil"/>
              <w:bottom w:val="nil"/>
              <w:right w:val="nil"/>
            </w:tcBorders>
          </w:tcPr>
          <w:p w14:paraId="6C87338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w:t>
            </w:r>
          </w:p>
        </w:tc>
        <w:tc>
          <w:tcPr>
            <w:tcW w:w="2016" w:type="dxa"/>
            <w:tcBorders>
              <w:left w:val="nil"/>
              <w:bottom w:val="nil"/>
              <w:right w:val="nil"/>
            </w:tcBorders>
          </w:tcPr>
          <w:p w14:paraId="19D10FE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w:t>
            </w:r>
          </w:p>
        </w:tc>
        <w:tc>
          <w:tcPr>
            <w:tcW w:w="2016" w:type="dxa"/>
            <w:tcBorders>
              <w:left w:val="nil"/>
              <w:bottom w:val="nil"/>
              <w:right w:val="nil"/>
            </w:tcBorders>
          </w:tcPr>
          <w:p w14:paraId="045AB6A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w:t>
            </w:r>
          </w:p>
        </w:tc>
        <w:tc>
          <w:tcPr>
            <w:tcW w:w="1596" w:type="dxa"/>
            <w:tcBorders>
              <w:left w:val="nil"/>
              <w:bottom w:val="nil"/>
              <w:right w:val="nil"/>
            </w:tcBorders>
          </w:tcPr>
          <w:p w14:paraId="271DF9F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w:t>
            </w:r>
          </w:p>
        </w:tc>
      </w:tr>
      <w:tr w:rsidR="009E1D45" w14:paraId="0133F7C4" w14:textId="77777777" w:rsidTr="001019DE">
        <w:tc>
          <w:tcPr>
            <w:tcW w:w="3156" w:type="dxa"/>
            <w:tcBorders>
              <w:top w:val="single" w:sz="4" w:space="0" w:color="auto"/>
              <w:left w:val="nil"/>
              <w:bottom w:val="nil"/>
              <w:right w:val="nil"/>
            </w:tcBorders>
          </w:tcPr>
          <w:p w14:paraId="577E1F9D"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ACR</w:t>
            </w:r>
          </w:p>
        </w:tc>
        <w:tc>
          <w:tcPr>
            <w:tcW w:w="2016" w:type="dxa"/>
            <w:tcBorders>
              <w:top w:val="single" w:sz="4" w:space="0" w:color="auto"/>
              <w:left w:val="nil"/>
              <w:bottom w:val="nil"/>
              <w:right w:val="nil"/>
            </w:tcBorders>
          </w:tcPr>
          <w:p w14:paraId="1C8FA7C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-17.722</w:t>
            </w:r>
          </w:p>
        </w:tc>
        <w:tc>
          <w:tcPr>
            <w:tcW w:w="2016" w:type="dxa"/>
            <w:tcBorders>
              <w:top w:val="single" w:sz="4" w:space="0" w:color="auto"/>
              <w:left w:val="nil"/>
              <w:bottom w:val="nil"/>
              <w:right w:val="nil"/>
            </w:tcBorders>
          </w:tcPr>
          <w:p w14:paraId="4E24135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36.662</w:t>
            </w:r>
          </w:p>
        </w:tc>
        <w:tc>
          <w:tcPr>
            <w:tcW w:w="2016" w:type="dxa"/>
            <w:tcBorders>
              <w:top w:val="single" w:sz="4" w:space="0" w:color="auto"/>
              <w:left w:val="nil"/>
              <w:bottom w:val="nil"/>
              <w:right w:val="nil"/>
            </w:tcBorders>
          </w:tcPr>
          <w:p w14:paraId="59061A1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223.233</w:t>
            </w:r>
            <w:r>
              <w:rPr>
                <w:rFonts w:ascii="Times New Roman" w:hAnsi="Times New Roman" w:cs="Times New Roman"/>
                <w:kern w:val="0"/>
                <w:vertAlign w:val="superscript"/>
              </w:rPr>
              <w:t>**</w:t>
            </w:r>
          </w:p>
        </w:tc>
        <w:tc>
          <w:tcPr>
            <w:tcW w:w="1596" w:type="dxa"/>
            <w:tcBorders>
              <w:top w:val="single" w:sz="4" w:space="0" w:color="auto"/>
              <w:left w:val="nil"/>
              <w:bottom w:val="nil"/>
              <w:right w:val="nil"/>
            </w:tcBorders>
          </w:tcPr>
          <w:p w14:paraId="5A22B98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76.531</w:t>
            </w:r>
          </w:p>
        </w:tc>
      </w:tr>
      <w:tr w:rsidR="009E1D45" w14:paraId="4825250E" w14:textId="77777777" w:rsidTr="001019DE">
        <w:tc>
          <w:tcPr>
            <w:tcW w:w="3156" w:type="dxa"/>
            <w:tcBorders>
              <w:top w:val="nil"/>
              <w:left w:val="nil"/>
              <w:bottom w:val="nil"/>
              <w:right w:val="nil"/>
            </w:tcBorders>
          </w:tcPr>
          <w:p w14:paraId="41B4C28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4E97112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(92.280)</w:t>
            </w:r>
          </w:p>
        </w:tc>
        <w:tc>
          <w:tcPr>
            <w:tcW w:w="2016" w:type="dxa"/>
            <w:tcBorders>
              <w:top w:val="nil"/>
              <w:left w:val="nil"/>
              <w:bottom w:val="nil"/>
              <w:right w:val="nil"/>
            </w:tcBorders>
          </w:tcPr>
          <w:p w14:paraId="1479EA4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(47.300)</w:t>
            </w:r>
          </w:p>
        </w:tc>
        <w:tc>
          <w:tcPr>
            <w:tcW w:w="2016" w:type="dxa"/>
            <w:tcBorders>
              <w:top w:val="nil"/>
              <w:left w:val="nil"/>
              <w:bottom w:val="nil"/>
              <w:right w:val="nil"/>
            </w:tcBorders>
          </w:tcPr>
          <w:p w14:paraId="241C4E0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(93.073)</w:t>
            </w:r>
          </w:p>
        </w:tc>
        <w:tc>
          <w:tcPr>
            <w:tcW w:w="1596" w:type="dxa"/>
            <w:tcBorders>
              <w:top w:val="nil"/>
              <w:left w:val="nil"/>
              <w:bottom w:val="nil"/>
              <w:right w:val="nil"/>
            </w:tcBorders>
          </w:tcPr>
          <w:p w14:paraId="6CE92B0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(50.245)</w:t>
            </w:r>
          </w:p>
        </w:tc>
      </w:tr>
      <w:tr w:rsidR="009E1D45" w14:paraId="5569380A" w14:textId="77777777" w:rsidTr="001019DE">
        <w:tc>
          <w:tcPr>
            <w:tcW w:w="3156" w:type="dxa"/>
            <w:tcBorders>
              <w:top w:val="nil"/>
              <w:left w:val="nil"/>
              <w:bottom w:val="nil"/>
              <w:right w:val="nil"/>
            </w:tcBorders>
          </w:tcPr>
          <w:p w14:paraId="540B5EAE"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Female</w:t>
            </w:r>
          </w:p>
        </w:tc>
        <w:tc>
          <w:tcPr>
            <w:tcW w:w="2016" w:type="dxa"/>
            <w:tcBorders>
              <w:top w:val="nil"/>
              <w:left w:val="nil"/>
              <w:bottom w:val="nil"/>
              <w:right w:val="nil"/>
            </w:tcBorders>
          </w:tcPr>
          <w:p w14:paraId="533C15D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-690.078</w:t>
            </w:r>
          </w:p>
        </w:tc>
        <w:tc>
          <w:tcPr>
            <w:tcW w:w="2016" w:type="dxa"/>
            <w:tcBorders>
              <w:top w:val="nil"/>
              <w:left w:val="nil"/>
              <w:bottom w:val="nil"/>
              <w:right w:val="nil"/>
            </w:tcBorders>
          </w:tcPr>
          <w:p w14:paraId="431E069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-1242.719</w:t>
            </w:r>
          </w:p>
        </w:tc>
        <w:tc>
          <w:tcPr>
            <w:tcW w:w="2016" w:type="dxa"/>
            <w:tcBorders>
              <w:top w:val="nil"/>
              <w:left w:val="nil"/>
              <w:bottom w:val="nil"/>
              <w:right w:val="nil"/>
            </w:tcBorders>
          </w:tcPr>
          <w:p w14:paraId="71F0690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2484.766</w:t>
            </w:r>
          </w:p>
        </w:tc>
        <w:tc>
          <w:tcPr>
            <w:tcW w:w="1596" w:type="dxa"/>
            <w:tcBorders>
              <w:top w:val="nil"/>
              <w:left w:val="nil"/>
              <w:bottom w:val="nil"/>
              <w:right w:val="nil"/>
            </w:tcBorders>
          </w:tcPr>
          <w:p w14:paraId="2EFA5A5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3099.393</w:t>
            </w:r>
          </w:p>
        </w:tc>
      </w:tr>
      <w:tr w:rsidR="009E1D45" w14:paraId="46950F8D" w14:textId="77777777" w:rsidTr="001019DE">
        <w:tc>
          <w:tcPr>
            <w:tcW w:w="3156" w:type="dxa"/>
            <w:tcBorders>
              <w:top w:val="nil"/>
              <w:left w:val="nil"/>
              <w:bottom w:val="nil"/>
              <w:right w:val="nil"/>
            </w:tcBorders>
          </w:tcPr>
          <w:p w14:paraId="4097AF73"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1632A42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(797.204)</w:t>
            </w:r>
          </w:p>
        </w:tc>
        <w:tc>
          <w:tcPr>
            <w:tcW w:w="2016" w:type="dxa"/>
            <w:tcBorders>
              <w:top w:val="nil"/>
              <w:left w:val="nil"/>
              <w:bottom w:val="nil"/>
              <w:right w:val="nil"/>
            </w:tcBorders>
          </w:tcPr>
          <w:p w14:paraId="2FCF0ED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(741.079)</w:t>
            </w:r>
          </w:p>
        </w:tc>
        <w:tc>
          <w:tcPr>
            <w:tcW w:w="2016" w:type="dxa"/>
            <w:tcBorders>
              <w:top w:val="nil"/>
              <w:left w:val="nil"/>
              <w:bottom w:val="nil"/>
              <w:right w:val="nil"/>
            </w:tcBorders>
          </w:tcPr>
          <w:p w14:paraId="3578C57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(1854.259)</w:t>
            </w:r>
          </w:p>
        </w:tc>
        <w:tc>
          <w:tcPr>
            <w:tcW w:w="1596" w:type="dxa"/>
            <w:tcBorders>
              <w:top w:val="nil"/>
              <w:left w:val="nil"/>
              <w:bottom w:val="nil"/>
              <w:right w:val="nil"/>
            </w:tcBorders>
          </w:tcPr>
          <w:p w14:paraId="753D2A8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(2102.277)</w:t>
            </w:r>
          </w:p>
        </w:tc>
      </w:tr>
      <w:tr w:rsidR="009E1D45" w14:paraId="35A5D42E" w14:textId="77777777" w:rsidTr="001019DE">
        <w:tc>
          <w:tcPr>
            <w:tcW w:w="3156" w:type="dxa"/>
            <w:tcBorders>
              <w:top w:val="nil"/>
              <w:left w:val="nil"/>
              <w:bottom w:val="nil"/>
              <w:right w:val="nil"/>
            </w:tcBorders>
          </w:tcPr>
          <w:p w14:paraId="5F8268F7"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w:t>
            </w:r>
            <w:proofErr w:type="gramStart"/>
            <w:r>
              <w:rPr>
                <w:rFonts w:ascii="Times New Roman" w:hAnsi="Times New Roman" w:cs="Times New Roman"/>
                <w:kern w:val="0"/>
              </w:rPr>
              <w:t>Non-White</w:t>
            </w:r>
            <w:proofErr w:type="gramEnd"/>
          </w:p>
        </w:tc>
        <w:tc>
          <w:tcPr>
            <w:tcW w:w="2016" w:type="dxa"/>
            <w:tcBorders>
              <w:top w:val="nil"/>
              <w:left w:val="nil"/>
              <w:bottom w:val="nil"/>
              <w:right w:val="nil"/>
            </w:tcBorders>
          </w:tcPr>
          <w:p w14:paraId="2901B64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477.118</w:t>
            </w:r>
          </w:p>
        </w:tc>
        <w:tc>
          <w:tcPr>
            <w:tcW w:w="2016" w:type="dxa"/>
            <w:tcBorders>
              <w:top w:val="nil"/>
              <w:left w:val="nil"/>
              <w:bottom w:val="nil"/>
              <w:right w:val="nil"/>
            </w:tcBorders>
          </w:tcPr>
          <w:p w14:paraId="41BAA6D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627.362</w:t>
            </w:r>
          </w:p>
        </w:tc>
        <w:tc>
          <w:tcPr>
            <w:tcW w:w="2016" w:type="dxa"/>
            <w:tcBorders>
              <w:top w:val="nil"/>
              <w:left w:val="nil"/>
              <w:bottom w:val="nil"/>
              <w:right w:val="nil"/>
            </w:tcBorders>
          </w:tcPr>
          <w:p w14:paraId="30A0942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-622.032</w:t>
            </w:r>
          </w:p>
        </w:tc>
        <w:tc>
          <w:tcPr>
            <w:tcW w:w="1596" w:type="dxa"/>
            <w:tcBorders>
              <w:top w:val="nil"/>
              <w:left w:val="nil"/>
              <w:bottom w:val="nil"/>
              <w:right w:val="nil"/>
            </w:tcBorders>
          </w:tcPr>
          <w:p w14:paraId="1B5F64A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-775.859</w:t>
            </w:r>
          </w:p>
        </w:tc>
      </w:tr>
      <w:tr w:rsidR="009E1D45" w14:paraId="10E45218" w14:textId="77777777" w:rsidTr="001019DE">
        <w:tc>
          <w:tcPr>
            <w:tcW w:w="3156" w:type="dxa"/>
            <w:tcBorders>
              <w:top w:val="nil"/>
              <w:left w:val="nil"/>
              <w:bottom w:val="nil"/>
              <w:right w:val="nil"/>
            </w:tcBorders>
          </w:tcPr>
          <w:p w14:paraId="35C9BD4E"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177035F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(637.797)</w:t>
            </w:r>
          </w:p>
        </w:tc>
        <w:tc>
          <w:tcPr>
            <w:tcW w:w="2016" w:type="dxa"/>
            <w:tcBorders>
              <w:top w:val="nil"/>
              <w:left w:val="nil"/>
              <w:bottom w:val="nil"/>
              <w:right w:val="nil"/>
            </w:tcBorders>
          </w:tcPr>
          <w:p w14:paraId="46D2723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(658.416)</w:t>
            </w:r>
          </w:p>
        </w:tc>
        <w:tc>
          <w:tcPr>
            <w:tcW w:w="2016" w:type="dxa"/>
            <w:tcBorders>
              <w:top w:val="nil"/>
              <w:left w:val="nil"/>
              <w:bottom w:val="nil"/>
              <w:right w:val="nil"/>
            </w:tcBorders>
          </w:tcPr>
          <w:p w14:paraId="1275422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(1074.301)</w:t>
            </w:r>
          </w:p>
        </w:tc>
        <w:tc>
          <w:tcPr>
            <w:tcW w:w="1596" w:type="dxa"/>
            <w:tcBorders>
              <w:top w:val="nil"/>
              <w:left w:val="nil"/>
              <w:bottom w:val="nil"/>
              <w:right w:val="nil"/>
            </w:tcBorders>
          </w:tcPr>
          <w:p w14:paraId="3777FAF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(1277.651)</w:t>
            </w:r>
          </w:p>
        </w:tc>
      </w:tr>
      <w:tr w:rsidR="009E1D45" w14:paraId="325FDC86" w14:textId="77777777" w:rsidTr="001019DE">
        <w:tc>
          <w:tcPr>
            <w:tcW w:w="3156" w:type="dxa"/>
            <w:tcBorders>
              <w:top w:val="nil"/>
              <w:left w:val="nil"/>
              <w:bottom w:val="nil"/>
              <w:right w:val="nil"/>
            </w:tcBorders>
          </w:tcPr>
          <w:p w14:paraId="222E0D35"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Econ. </w:t>
            </w:r>
            <w:proofErr w:type="spellStart"/>
            <w:r>
              <w:rPr>
                <w:rFonts w:ascii="Times New Roman" w:hAnsi="Times New Roman" w:cs="Times New Roman"/>
                <w:kern w:val="0"/>
              </w:rPr>
              <w:t>Disad</w:t>
            </w:r>
            <w:proofErr w:type="spellEnd"/>
            <w:r>
              <w:rPr>
                <w:rFonts w:ascii="Times New Roman" w:hAnsi="Times New Roman" w:cs="Times New Roman"/>
                <w:kern w:val="0"/>
              </w:rPr>
              <w:t>.</w:t>
            </w:r>
          </w:p>
        </w:tc>
        <w:tc>
          <w:tcPr>
            <w:tcW w:w="2016" w:type="dxa"/>
            <w:tcBorders>
              <w:top w:val="nil"/>
              <w:left w:val="nil"/>
              <w:bottom w:val="nil"/>
              <w:right w:val="nil"/>
            </w:tcBorders>
          </w:tcPr>
          <w:p w14:paraId="5BBD5D5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334.726</w:t>
            </w:r>
            <w:r>
              <w:rPr>
                <w:rFonts w:ascii="Times New Roman" w:hAnsi="Times New Roman" w:cs="Times New Roman"/>
                <w:kern w:val="0"/>
                <w:vertAlign w:val="superscript"/>
              </w:rPr>
              <w:t>*</w:t>
            </w:r>
          </w:p>
        </w:tc>
        <w:tc>
          <w:tcPr>
            <w:tcW w:w="2016" w:type="dxa"/>
            <w:tcBorders>
              <w:top w:val="nil"/>
              <w:left w:val="nil"/>
              <w:bottom w:val="nil"/>
              <w:right w:val="nil"/>
            </w:tcBorders>
          </w:tcPr>
          <w:p w14:paraId="0AB3414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319.578</w:t>
            </w:r>
          </w:p>
        </w:tc>
        <w:tc>
          <w:tcPr>
            <w:tcW w:w="2016" w:type="dxa"/>
            <w:tcBorders>
              <w:top w:val="nil"/>
              <w:left w:val="nil"/>
              <w:bottom w:val="nil"/>
              <w:right w:val="nil"/>
            </w:tcBorders>
          </w:tcPr>
          <w:p w14:paraId="19DB223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661.006</w:t>
            </w:r>
          </w:p>
        </w:tc>
        <w:tc>
          <w:tcPr>
            <w:tcW w:w="1596" w:type="dxa"/>
            <w:tcBorders>
              <w:top w:val="nil"/>
              <w:left w:val="nil"/>
              <w:bottom w:val="nil"/>
              <w:right w:val="nil"/>
            </w:tcBorders>
          </w:tcPr>
          <w:p w14:paraId="06BD973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584.212</w:t>
            </w:r>
          </w:p>
        </w:tc>
      </w:tr>
      <w:tr w:rsidR="009E1D45" w14:paraId="4D4E8081" w14:textId="77777777" w:rsidTr="001019DE">
        <w:tc>
          <w:tcPr>
            <w:tcW w:w="3156" w:type="dxa"/>
            <w:tcBorders>
              <w:top w:val="nil"/>
              <w:left w:val="nil"/>
              <w:bottom w:val="nil"/>
              <w:right w:val="nil"/>
            </w:tcBorders>
          </w:tcPr>
          <w:p w14:paraId="229BC098"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4C385EB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(181.945)</w:t>
            </w:r>
          </w:p>
        </w:tc>
        <w:tc>
          <w:tcPr>
            <w:tcW w:w="2016" w:type="dxa"/>
            <w:tcBorders>
              <w:top w:val="nil"/>
              <w:left w:val="nil"/>
              <w:bottom w:val="nil"/>
              <w:right w:val="nil"/>
            </w:tcBorders>
          </w:tcPr>
          <w:p w14:paraId="2997322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(208.787)</w:t>
            </w:r>
          </w:p>
        </w:tc>
        <w:tc>
          <w:tcPr>
            <w:tcW w:w="2016" w:type="dxa"/>
            <w:tcBorders>
              <w:top w:val="nil"/>
              <w:left w:val="nil"/>
              <w:bottom w:val="nil"/>
              <w:right w:val="nil"/>
            </w:tcBorders>
          </w:tcPr>
          <w:p w14:paraId="286B020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(417.111)</w:t>
            </w:r>
          </w:p>
        </w:tc>
        <w:tc>
          <w:tcPr>
            <w:tcW w:w="1596" w:type="dxa"/>
            <w:tcBorders>
              <w:top w:val="nil"/>
              <w:left w:val="nil"/>
              <w:bottom w:val="nil"/>
              <w:right w:val="nil"/>
            </w:tcBorders>
          </w:tcPr>
          <w:p w14:paraId="2C3A229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(458.143)</w:t>
            </w:r>
          </w:p>
        </w:tc>
      </w:tr>
      <w:tr w:rsidR="009E1D45" w14:paraId="3E948FCD" w14:textId="77777777" w:rsidTr="001019DE">
        <w:tc>
          <w:tcPr>
            <w:tcW w:w="3156" w:type="dxa"/>
            <w:tcBorders>
              <w:top w:val="nil"/>
              <w:left w:val="nil"/>
              <w:bottom w:val="nil"/>
              <w:right w:val="nil"/>
            </w:tcBorders>
          </w:tcPr>
          <w:p w14:paraId="57A4B9C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SWD</w:t>
            </w:r>
          </w:p>
        </w:tc>
        <w:tc>
          <w:tcPr>
            <w:tcW w:w="2016" w:type="dxa"/>
            <w:tcBorders>
              <w:top w:val="nil"/>
              <w:left w:val="nil"/>
              <w:bottom w:val="nil"/>
              <w:right w:val="nil"/>
            </w:tcBorders>
          </w:tcPr>
          <w:p w14:paraId="65786DE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9211.559</w:t>
            </w:r>
            <w:r>
              <w:rPr>
                <w:rFonts w:ascii="Times New Roman" w:hAnsi="Times New Roman" w:cs="Times New Roman"/>
                <w:kern w:val="0"/>
                <w:vertAlign w:val="superscript"/>
              </w:rPr>
              <w:t>***</w:t>
            </w:r>
          </w:p>
        </w:tc>
        <w:tc>
          <w:tcPr>
            <w:tcW w:w="2016" w:type="dxa"/>
            <w:tcBorders>
              <w:top w:val="nil"/>
              <w:left w:val="nil"/>
              <w:bottom w:val="nil"/>
              <w:right w:val="nil"/>
            </w:tcBorders>
          </w:tcPr>
          <w:p w14:paraId="581DD40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9515.500</w:t>
            </w:r>
            <w:r>
              <w:rPr>
                <w:rFonts w:ascii="Times New Roman" w:hAnsi="Times New Roman" w:cs="Times New Roman"/>
                <w:kern w:val="0"/>
                <w:vertAlign w:val="superscript"/>
              </w:rPr>
              <w:t>**</w:t>
            </w:r>
          </w:p>
        </w:tc>
        <w:tc>
          <w:tcPr>
            <w:tcW w:w="2016" w:type="dxa"/>
            <w:tcBorders>
              <w:top w:val="nil"/>
              <w:left w:val="nil"/>
              <w:bottom w:val="nil"/>
              <w:right w:val="nil"/>
            </w:tcBorders>
          </w:tcPr>
          <w:p w14:paraId="0B5BA32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814.897</w:t>
            </w:r>
          </w:p>
        </w:tc>
        <w:tc>
          <w:tcPr>
            <w:tcW w:w="1596" w:type="dxa"/>
            <w:tcBorders>
              <w:top w:val="nil"/>
              <w:left w:val="nil"/>
              <w:bottom w:val="nil"/>
              <w:right w:val="nil"/>
            </w:tcBorders>
          </w:tcPr>
          <w:p w14:paraId="558DDE4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1382.768</w:t>
            </w:r>
          </w:p>
        </w:tc>
      </w:tr>
      <w:tr w:rsidR="009E1D45" w14:paraId="67DA9C36" w14:textId="77777777" w:rsidTr="001019DE">
        <w:tc>
          <w:tcPr>
            <w:tcW w:w="3156" w:type="dxa"/>
            <w:tcBorders>
              <w:top w:val="nil"/>
              <w:left w:val="nil"/>
              <w:bottom w:val="nil"/>
              <w:right w:val="nil"/>
            </w:tcBorders>
          </w:tcPr>
          <w:p w14:paraId="645D6EAE"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nil"/>
              <w:right w:val="nil"/>
            </w:tcBorders>
          </w:tcPr>
          <w:p w14:paraId="6F6C06C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(3304.262)</w:t>
            </w:r>
          </w:p>
        </w:tc>
        <w:tc>
          <w:tcPr>
            <w:tcW w:w="2016" w:type="dxa"/>
            <w:tcBorders>
              <w:top w:val="nil"/>
              <w:left w:val="nil"/>
              <w:bottom w:val="nil"/>
              <w:right w:val="nil"/>
            </w:tcBorders>
          </w:tcPr>
          <w:p w14:paraId="1E4D5DB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(4014.664)</w:t>
            </w:r>
          </w:p>
        </w:tc>
        <w:tc>
          <w:tcPr>
            <w:tcW w:w="2016" w:type="dxa"/>
            <w:tcBorders>
              <w:top w:val="nil"/>
              <w:left w:val="nil"/>
              <w:bottom w:val="nil"/>
              <w:right w:val="nil"/>
            </w:tcBorders>
          </w:tcPr>
          <w:p w14:paraId="1910B90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(1335.716)</w:t>
            </w:r>
          </w:p>
        </w:tc>
        <w:tc>
          <w:tcPr>
            <w:tcW w:w="1596" w:type="dxa"/>
            <w:tcBorders>
              <w:top w:val="nil"/>
              <w:left w:val="nil"/>
              <w:bottom w:val="nil"/>
              <w:right w:val="nil"/>
            </w:tcBorders>
          </w:tcPr>
          <w:p w14:paraId="3196237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(1672.595)</w:t>
            </w:r>
          </w:p>
        </w:tc>
      </w:tr>
      <w:tr w:rsidR="009E1D45" w14:paraId="362A7FE6" w14:textId="77777777" w:rsidTr="001019DE">
        <w:tc>
          <w:tcPr>
            <w:tcW w:w="3156" w:type="dxa"/>
            <w:tcBorders>
              <w:top w:val="nil"/>
              <w:left w:val="nil"/>
              <w:bottom w:val="nil"/>
              <w:right w:val="nil"/>
            </w:tcBorders>
          </w:tcPr>
          <w:p w14:paraId="48A7AE9D"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Log ISD Enrollment</w:t>
            </w:r>
          </w:p>
        </w:tc>
        <w:tc>
          <w:tcPr>
            <w:tcW w:w="2016" w:type="dxa"/>
            <w:tcBorders>
              <w:top w:val="nil"/>
              <w:left w:val="nil"/>
              <w:bottom w:val="nil"/>
              <w:right w:val="nil"/>
            </w:tcBorders>
          </w:tcPr>
          <w:p w14:paraId="63E2A58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564.947</w:t>
            </w:r>
            <w:r>
              <w:rPr>
                <w:rFonts w:ascii="Times New Roman" w:hAnsi="Times New Roman" w:cs="Times New Roman"/>
                <w:kern w:val="0"/>
                <w:vertAlign w:val="superscript"/>
              </w:rPr>
              <w:t>*</w:t>
            </w:r>
          </w:p>
        </w:tc>
        <w:tc>
          <w:tcPr>
            <w:tcW w:w="2016" w:type="dxa"/>
            <w:tcBorders>
              <w:top w:val="nil"/>
              <w:left w:val="nil"/>
              <w:bottom w:val="nil"/>
              <w:right w:val="nil"/>
            </w:tcBorders>
          </w:tcPr>
          <w:p w14:paraId="08F647B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523.789</w:t>
            </w:r>
          </w:p>
        </w:tc>
        <w:tc>
          <w:tcPr>
            <w:tcW w:w="2016" w:type="dxa"/>
            <w:tcBorders>
              <w:top w:val="nil"/>
              <w:left w:val="nil"/>
              <w:bottom w:val="nil"/>
              <w:right w:val="nil"/>
            </w:tcBorders>
          </w:tcPr>
          <w:p w14:paraId="6B29755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-616.381</w:t>
            </w:r>
            <w:r>
              <w:rPr>
                <w:rFonts w:ascii="Times New Roman" w:hAnsi="Times New Roman" w:cs="Times New Roman"/>
                <w:kern w:val="0"/>
                <w:vertAlign w:val="superscript"/>
              </w:rPr>
              <w:t>*</w:t>
            </w:r>
          </w:p>
        </w:tc>
        <w:tc>
          <w:tcPr>
            <w:tcW w:w="1596" w:type="dxa"/>
            <w:tcBorders>
              <w:top w:val="nil"/>
              <w:left w:val="nil"/>
              <w:bottom w:val="nil"/>
              <w:right w:val="nil"/>
            </w:tcBorders>
          </w:tcPr>
          <w:p w14:paraId="308695B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-446.451</w:t>
            </w:r>
          </w:p>
        </w:tc>
      </w:tr>
      <w:tr w:rsidR="009E1D45" w14:paraId="2219F1EB" w14:textId="77777777" w:rsidTr="001019DE">
        <w:tc>
          <w:tcPr>
            <w:tcW w:w="3156" w:type="dxa"/>
            <w:tcBorders>
              <w:top w:val="nil"/>
              <w:left w:val="nil"/>
              <w:bottom w:val="single" w:sz="4" w:space="0" w:color="auto"/>
              <w:right w:val="nil"/>
            </w:tcBorders>
          </w:tcPr>
          <w:p w14:paraId="17795C0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016" w:type="dxa"/>
            <w:tcBorders>
              <w:top w:val="nil"/>
              <w:left w:val="nil"/>
              <w:bottom w:val="single" w:sz="4" w:space="0" w:color="auto"/>
              <w:right w:val="nil"/>
            </w:tcBorders>
          </w:tcPr>
          <w:p w14:paraId="25CCE26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(310.719)</w:t>
            </w:r>
          </w:p>
        </w:tc>
        <w:tc>
          <w:tcPr>
            <w:tcW w:w="2016" w:type="dxa"/>
            <w:tcBorders>
              <w:top w:val="nil"/>
              <w:left w:val="nil"/>
              <w:bottom w:val="single" w:sz="4" w:space="0" w:color="auto"/>
              <w:right w:val="nil"/>
            </w:tcBorders>
          </w:tcPr>
          <w:p w14:paraId="401612B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(360.662)</w:t>
            </w:r>
          </w:p>
        </w:tc>
        <w:tc>
          <w:tcPr>
            <w:tcW w:w="2016" w:type="dxa"/>
            <w:tcBorders>
              <w:top w:val="nil"/>
              <w:left w:val="nil"/>
              <w:bottom w:val="single" w:sz="4" w:space="0" w:color="auto"/>
              <w:right w:val="nil"/>
            </w:tcBorders>
          </w:tcPr>
          <w:p w14:paraId="29D897A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(329.558)</w:t>
            </w:r>
          </w:p>
        </w:tc>
        <w:tc>
          <w:tcPr>
            <w:tcW w:w="1596" w:type="dxa"/>
            <w:tcBorders>
              <w:top w:val="nil"/>
              <w:left w:val="nil"/>
              <w:bottom w:val="single" w:sz="4" w:space="0" w:color="auto"/>
              <w:right w:val="nil"/>
            </w:tcBorders>
          </w:tcPr>
          <w:p w14:paraId="753F8D3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(340.688)</w:t>
            </w:r>
          </w:p>
        </w:tc>
      </w:tr>
      <w:tr w:rsidR="009E1D45" w14:paraId="5FBC9BBE" w14:textId="77777777" w:rsidTr="001019DE">
        <w:tc>
          <w:tcPr>
            <w:tcW w:w="3156" w:type="dxa"/>
            <w:tcBorders>
              <w:top w:val="single" w:sz="4" w:space="0" w:color="auto"/>
              <w:left w:val="nil"/>
              <w:right w:val="nil"/>
            </w:tcBorders>
          </w:tcPr>
          <w:p w14:paraId="586283F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Millage Rate Functional Form</w:t>
            </w:r>
          </w:p>
        </w:tc>
        <w:tc>
          <w:tcPr>
            <w:tcW w:w="2016" w:type="dxa"/>
            <w:tcBorders>
              <w:top w:val="single" w:sz="4" w:space="0" w:color="auto"/>
              <w:left w:val="nil"/>
              <w:right w:val="nil"/>
            </w:tcBorders>
          </w:tcPr>
          <w:p w14:paraId="566E3C8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Linear</w:t>
            </w:r>
          </w:p>
        </w:tc>
        <w:tc>
          <w:tcPr>
            <w:tcW w:w="2016" w:type="dxa"/>
            <w:tcBorders>
              <w:top w:val="single" w:sz="4" w:space="0" w:color="auto"/>
              <w:left w:val="nil"/>
              <w:right w:val="nil"/>
            </w:tcBorders>
          </w:tcPr>
          <w:p w14:paraId="5E15DD8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Quadratic</w:t>
            </w:r>
          </w:p>
        </w:tc>
        <w:tc>
          <w:tcPr>
            <w:tcW w:w="2016" w:type="dxa"/>
            <w:tcBorders>
              <w:top w:val="single" w:sz="4" w:space="0" w:color="auto"/>
              <w:left w:val="nil"/>
              <w:right w:val="nil"/>
            </w:tcBorders>
          </w:tcPr>
          <w:p w14:paraId="07E0DBB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Linear</w:t>
            </w:r>
          </w:p>
        </w:tc>
        <w:tc>
          <w:tcPr>
            <w:tcW w:w="1596" w:type="dxa"/>
            <w:tcBorders>
              <w:top w:val="single" w:sz="4" w:space="0" w:color="auto"/>
              <w:left w:val="nil"/>
              <w:right w:val="nil"/>
            </w:tcBorders>
          </w:tcPr>
          <w:p w14:paraId="5858BFA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Quadratic</w:t>
            </w:r>
          </w:p>
        </w:tc>
      </w:tr>
      <w:tr w:rsidR="009E1D45" w14:paraId="7C35A61C" w14:textId="77777777" w:rsidTr="001019DE">
        <w:tc>
          <w:tcPr>
            <w:tcW w:w="3156" w:type="dxa"/>
            <w:tcBorders>
              <w:left w:val="nil"/>
              <w:bottom w:val="single" w:sz="4" w:space="0" w:color="auto"/>
              <w:right w:val="nil"/>
            </w:tcBorders>
          </w:tcPr>
          <w:p w14:paraId="61AFA575"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Observations</w:t>
            </w:r>
          </w:p>
        </w:tc>
        <w:tc>
          <w:tcPr>
            <w:tcW w:w="2016" w:type="dxa"/>
            <w:tcBorders>
              <w:left w:val="nil"/>
              <w:bottom w:val="single" w:sz="4" w:space="0" w:color="auto"/>
              <w:right w:val="nil"/>
            </w:tcBorders>
          </w:tcPr>
          <w:p w14:paraId="2A6B66C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2016" w:type="dxa"/>
            <w:tcBorders>
              <w:left w:val="nil"/>
              <w:bottom w:val="single" w:sz="4" w:space="0" w:color="auto"/>
              <w:right w:val="nil"/>
            </w:tcBorders>
          </w:tcPr>
          <w:p w14:paraId="7551A72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5956</w:t>
            </w:r>
          </w:p>
        </w:tc>
        <w:tc>
          <w:tcPr>
            <w:tcW w:w="2016" w:type="dxa"/>
            <w:tcBorders>
              <w:left w:val="nil"/>
              <w:bottom w:val="single" w:sz="4" w:space="0" w:color="auto"/>
              <w:right w:val="nil"/>
            </w:tcBorders>
          </w:tcPr>
          <w:p w14:paraId="588616A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596" w:type="dxa"/>
            <w:tcBorders>
              <w:left w:val="nil"/>
              <w:bottom w:val="single" w:sz="4" w:space="0" w:color="auto"/>
              <w:right w:val="nil"/>
            </w:tcBorders>
          </w:tcPr>
          <w:p w14:paraId="2B1FC0D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5956</w:t>
            </w:r>
          </w:p>
        </w:tc>
      </w:tr>
    </w:tbl>
    <w:p w14:paraId="31326E3E"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Average causal response estimates from Equation (1) aggregated using the weighted average of estimates in Equation (2). Dosage represents a continuous measure of the increase in the millage of the special education property tax in each ISD. Columns (1) and (2) present estimates from models with the dosage in a linear functional form, and columns (3) and (4) present models with a quadratic functional form. All standard errors clustered at the ISD-level and unconditional on covariates.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0.1,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0.05,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0.01</w:t>
      </w:r>
    </w:p>
    <w:p w14:paraId="76BC13EA" w14:textId="77777777" w:rsidR="009E1D45" w:rsidRPr="00667704" w:rsidRDefault="009E1D45" w:rsidP="009E1D45">
      <w:pPr>
        <w:rPr>
          <w:rFonts w:ascii="Times New Roman" w:hAnsi="Times New Roman" w:cs="Times New Roman"/>
        </w:rPr>
      </w:pPr>
    </w:p>
    <w:p w14:paraId="2854FE95" w14:textId="77777777" w:rsidR="009E1D45" w:rsidRDefault="009E1D45" w:rsidP="009E1D45">
      <w:pPr>
        <w:rPr>
          <w:rFonts w:ascii="Times New Roman" w:hAnsi="Times New Roman" w:cs="Times New Roman"/>
        </w:rPr>
      </w:pPr>
    </w:p>
    <w:p w14:paraId="5FB7564B" w14:textId="77777777" w:rsidR="009E1D45" w:rsidRDefault="009E1D45" w:rsidP="009E1D45">
      <w:pPr>
        <w:rPr>
          <w:rFonts w:ascii="Times New Roman" w:hAnsi="Times New Roman" w:cs="Times New Roman"/>
        </w:rPr>
      </w:pPr>
    </w:p>
    <w:p w14:paraId="177675FB" w14:textId="77777777" w:rsidR="009E1D45" w:rsidRDefault="009E1D45" w:rsidP="009E1D45">
      <w:pPr>
        <w:rPr>
          <w:rFonts w:ascii="Times New Roman" w:hAnsi="Times New Roman" w:cs="Times New Roman"/>
        </w:rPr>
      </w:pPr>
    </w:p>
    <w:p w14:paraId="3698E5E4" w14:textId="77777777" w:rsidR="009E1D45" w:rsidRDefault="009E1D45" w:rsidP="009E1D45">
      <w:pPr>
        <w:rPr>
          <w:rFonts w:ascii="Times New Roman" w:hAnsi="Times New Roman" w:cs="Times New Roman"/>
        </w:rPr>
      </w:pPr>
    </w:p>
    <w:p w14:paraId="22B82F27" w14:textId="77777777" w:rsidR="009E1D45" w:rsidRDefault="009E1D45" w:rsidP="009E1D45">
      <w:pPr>
        <w:rPr>
          <w:rFonts w:ascii="Times New Roman" w:hAnsi="Times New Roman" w:cs="Times New Roman"/>
        </w:rPr>
      </w:pPr>
    </w:p>
    <w:p w14:paraId="0EF59E0C" w14:textId="77777777" w:rsidR="009E1D45" w:rsidRDefault="009E1D45" w:rsidP="009E1D45">
      <w:pPr>
        <w:rPr>
          <w:rFonts w:ascii="Times New Roman" w:hAnsi="Times New Roman" w:cs="Times New Roman"/>
        </w:rPr>
      </w:pPr>
    </w:p>
    <w:p w14:paraId="7FBCF2A5" w14:textId="77777777" w:rsidR="009E1D45" w:rsidRDefault="009E1D45" w:rsidP="009E1D45">
      <w:pPr>
        <w:rPr>
          <w:rFonts w:ascii="Times New Roman" w:hAnsi="Times New Roman" w:cs="Times New Roman"/>
        </w:rPr>
      </w:pPr>
    </w:p>
    <w:p w14:paraId="0EB59E4D" w14:textId="77777777" w:rsidR="009E1D45" w:rsidRDefault="009E1D45" w:rsidP="009E1D45">
      <w:pPr>
        <w:rPr>
          <w:rFonts w:ascii="Times New Roman" w:hAnsi="Times New Roman" w:cs="Times New Roman"/>
        </w:rPr>
      </w:pPr>
    </w:p>
    <w:p w14:paraId="6886BB46" w14:textId="77777777" w:rsidR="009E1D45" w:rsidRDefault="009E1D45" w:rsidP="009E1D45">
      <w:pPr>
        <w:rPr>
          <w:rFonts w:ascii="Times New Roman" w:hAnsi="Times New Roman" w:cs="Times New Roman"/>
        </w:rPr>
      </w:pPr>
    </w:p>
    <w:p w14:paraId="13CB5B54" w14:textId="77777777" w:rsidR="009E1D45" w:rsidRDefault="009E1D45" w:rsidP="009E1D45">
      <w:pPr>
        <w:rPr>
          <w:rFonts w:ascii="Times New Roman" w:hAnsi="Times New Roman" w:cs="Times New Roman"/>
        </w:rPr>
      </w:pPr>
    </w:p>
    <w:p w14:paraId="7B7B5265" w14:textId="77777777" w:rsidR="009E1D45" w:rsidRDefault="009E1D45" w:rsidP="009E1D45">
      <w:pPr>
        <w:rPr>
          <w:rFonts w:ascii="Times New Roman" w:hAnsi="Times New Roman" w:cs="Times New Roman"/>
        </w:rPr>
      </w:pPr>
    </w:p>
    <w:p w14:paraId="4514E553" w14:textId="77777777" w:rsidR="009E1D45" w:rsidRDefault="009E1D45" w:rsidP="009E1D45">
      <w:pPr>
        <w:rPr>
          <w:rFonts w:ascii="Times New Roman" w:hAnsi="Times New Roman" w:cs="Times New Roman"/>
        </w:rPr>
      </w:pPr>
    </w:p>
    <w:p w14:paraId="4DAE8BED" w14:textId="77777777" w:rsidR="009E1D45" w:rsidRPr="00667704" w:rsidRDefault="009E1D45" w:rsidP="009E1D45">
      <w:pPr>
        <w:jc w:val="center"/>
        <w:rPr>
          <w:rFonts w:ascii="Times New Roman" w:hAnsi="Times New Roman" w:cs="Times New Roman"/>
          <w:b/>
          <w:bCs/>
        </w:rPr>
      </w:pPr>
      <w:r w:rsidRPr="00667704">
        <w:rPr>
          <w:rFonts w:ascii="Times New Roman" w:hAnsi="Times New Roman" w:cs="Times New Roman"/>
          <w:b/>
          <w:bCs/>
        </w:rPr>
        <w:lastRenderedPageBreak/>
        <w:t xml:space="preserve">Table </w:t>
      </w:r>
      <w:r>
        <w:rPr>
          <w:rFonts w:ascii="Times New Roman" w:hAnsi="Times New Roman" w:cs="Times New Roman"/>
          <w:b/>
          <w:bCs/>
        </w:rPr>
        <w:t>6</w:t>
      </w:r>
      <w:r w:rsidRPr="00667704">
        <w:rPr>
          <w:rFonts w:ascii="Times New Roman" w:hAnsi="Times New Roman" w:cs="Times New Roman"/>
          <w:b/>
          <w:bCs/>
        </w:rPr>
        <w:t xml:space="preserve">: Average Causal Response of </w:t>
      </w:r>
      <w:r>
        <w:rPr>
          <w:rFonts w:ascii="Times New Roman" w:hAnsi="Times New Roman" w:cs="Times New Roman"/>
          <w:b/>
          <w:bCs/>
        </w:rPr>
        <w:t>School District-Level Non-</w:t>
      </w:r>
      <w:r w:rsidRPr="00667704">
        <w:rPr>
          <w:rFonts w:ascii="Times New Roman" w:hAnsi="Times New Roman" w:cs="Times New Roman"/>
          <w:b/>
          <w:bCs/>
        </w:rPr>
        <w:t xml:space="preserve">Special Education </w:t>
      </w:r>
      <w:r>
        <w:rPr>
          <w:rFonts w:ascii="Times New Roman" w:hAnsi="Times New Roman" w:cs="Times New Roman"/>
          <w:b/>
          <w:bCs/>
        </w:rPr>
        <w:t xml:space="preserve">Expenditures </w:t>
      </w:r>
      <w:r w:rsidRPr="00667704">
        <w:rPr>
          <w:rFonts w:ascii="Times New Roman" w:hAnsi="Times New Roman" w:cs="Times New Roman"/>
          <w:b/>
          <w:bCs/>
        </w:rPr>
        <w:t xml:space="preserve">following </w:t>
      </w:r>
      <w:r>
        <w:rPr>
          <w:rFonts w:ascii="Times New Roman" w:hAnsi="Times New Roman" w:cs="Times New Roman"/>
          <w:b/>
          <w:bCs/>
        </w:rPr>
        <w:t>Earmarked Property Tax</w:t>
      </w:r>
      <w:r w:rsidRPr="00667704">
        <w:rPr>
          <w:rFonts w:ascii="Times New Roman" w:hAnsi="Times New Roman" w:cs="Times New Roman"/>
          <w:b/>
          <w:bCs/>
        </w:rPr>
        <w:t xml:space="preserve"> Increase</w:t>
      </w:r>
      <w:r>
        <w:rPr>
          <w:rFonts w:ascii="Times New Roman" w:hAnsi="Times New Roman" w:cs="Times New Roman"/>
          <w:b/>
          <w:bCs/>
        </w:rPr>
        <w:t>, by Expenditure Type</w:t>
      </w:r>
    </w:p>
    <w:tbl>
      <w:tblPr>
        <w:tblW w:w="11160" w:type="dxa"/>
        <w:jc w:val="center"/>
        <w:tblLayout w:type="fixed"/>
        <w:tblLook w:val="0000" w:firstRow="0" w:lastRow="0" w:firstColumn="0" w:lastColumn="0" w:noHBand="0" w:noVBand="0"/>
      </w:tblPr>
      <w:tblGrid>
        <w:gridCol w:w="2402"/>
        <w:gridCol w:w="1459"/>
        <w:gridCol w:w="1460"/>
        <w:gridCol w:w="1460"/>
        <w:gridCol w:w="1459"/>
        <w:gridCol w:w="1460"/>
        <w:gridCol w:w="1460"/>
      </w:tblGrid>
      <w:tr w:rsidR="009E1D45" w14:paraId="06E02C6D" w14:textId="77777777" w:rsidTr="001019DE">
        <w:trPr>
          <w:trHeight w:val="590"/>
          <w:jc w:val="center"/>
        </w:trPr>
        <w:tc>
          <w:tcPr>
            <w:tcW w:w="2402" w:type="dxa"/>
            <w:tcBorders>
              <w:top w:val="single" w:sz="4" w:space="0" w:color="auto"/>
              <w:left w:val="nil"/>
              <w:bottom w:val="nil"/>
              <w:right w:val="nil"/>
            </w:tcBorders>
          </w:tcPr>
          <w:p w14:paraId="3C3AD6B8"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single" w:sz="4" w:space="0" w:color="auto"/>
              <w:left w:val="nil"/>
              <w:bottom w:val="nil"/>
              <w:right w:val="nil"/>
            </w:tcBorders>
          </w:tcPr>
          <w:p w14:paraId="384C1F9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Salaries</w:t>
            </w:r>
          </w:p>
        </w:tc>
        <w:tc>
          <w:tcPr>
            <w:tcW w:w="1460" w:type="dxa"/>
            <w:tcBorders>
              <w:top w:val="single" w:sz="4" w:space="0" w:color="auto"/>
              <w:left w:val="nil"/>
              <w:bottom w:val="nil"/>
              <w:right w:val="nil"/>
            </w:tcBorders>
          </w:tcPr>
          <w:p w14:paraId="5B64E06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Benefits</w:t>
            </w:r>
          </w:p>
        </w:tc>
        <w:tc>
          <w:tcPr>
            <w:tcW w:w="1460" w:type="dxa"/>
            <w:tcBorders>
              <w:top w:val="single" w:sz="4" w:space="0" w:color="auto"/>
              <w:left w:val="nil"/>
              <w:bottom w:val="nil"/>
              <w:right w:val="nil"/>
            </w:tcBorders>
          </w:tcPr>
          <w:p w14:paraId="48010B7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Purchased Services</w:t>
            </w:r>
          </w:p>
        </w:tc>
        <w:tc>
          <w:tcPr>
            <w:tcW w:w="1459" w:type="dxa"/>
            <w:tcBorders>
              <w:top w:val="single" w:sz="4" w:space="0" w:color="auto"/>
              <w:left w:val="nil"/>
              <w:bottom w:val="nil"/>
              <w:right w:val="nil"/>
            </w:tcBorders>
          </w:tcPr>
          <w:p w14:paraId="6B216B0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Supplies</w:t>
            </w:r>
          </w:p>
        </w:tc>
        <w:tc>
          <w:tcPr>
            <w:tcW w:w="1460" w:type="dxa"/>
            <w:tcBorders>
              <w:top w:val="single" w:sz="4" w:space="0" w:color="auto"/>
              <w:left w:val="nil"/>
              <w:bottom w:val="nil"/>
              <w:right w:val="nil"/>
            </w:tcBorders>
          </w:tcPr>
          <w:p w14:paraId="7C130DF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Transfers to School Districts/ ISDs</w:t>
            </w:r>
          </w:p>
        </w:tc>
        <w:tc>
          <w:tcPr>
            <w:tcW w:w="1460" w:type="dxa"/>
            <w:tcBorders>
              <w:top w:val="single" w:sz="4" w:space="0" w:color="auto"/>
              <w:left w:val="nil"/>
              <w:bottom w:val="nil"/>
              <w:right w:val="nil"/>
            </w:tcBorders>
          </w:tcPr>
          <w:p w14:paraId="020B4EF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Other</w:t>
            </w:r>
          </w:p>
        </w:tc>
      </w:tr>
      <w:tr w:rsidR="009E1D45" w14:paraId="7C7E0EE4" w14:textId="77777777" w:rsidTr="001019DE">
        <w:trPr>
          <w:trHeight w:val="305"/>
          <w:jc w:val="center"/>
        </w:trPr>
        <w:tc>
          <w:tcPr>
            <w:tcW w:w="2402" w:type="dxa"/>
            <w:tcBorders>
              <w:left w:val="nil"/>
              <w:bottom w:val="nil"/>
              <w:right w:val="nil"/>
            </w:tcBorders>
          </w:tcPr>
          <w:p w14:paraId="6114FFE7"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left w:val="nil"/>
              <w:bottom w:val="nil"/>
              <w:right w:val="nil"/>
            </w:tcBorders>
          </w:tcPr>
          <w:p w14:paraId="7DAA3B7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w:t>
            </w:r>
          </w:p>
        </w:tc>
        <w:tc>
          <w:tcPr>
            <w:tcW w:w="1460" w:type="dxa"/>
            <w:tcBorders>
              <w:left w:val="nil"/>
              <w:bottom w:val="nil"/>
              <w:right w:val="nil"/>
            </w:tcBorders>
          </w:tcPr>
          <w:p w14:paraId="06B921A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w:t>
            </w:r>
          </w:p>
        </w:tc>
        <w:tc>
          <w:tcPr>
            <w:tcW w:w="1460" w:type="dxa"/>
            <w:tcBorders>
              <w:left w:val="nil"/>
              <w:bottom w:val="nil"/>
              <w:right w:val="nil"/>
            </w:tcBorders>
          </w:tcPr>
          <w:p w14:paraId="074BAA4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w:t>
            </w:r>
          </w:p>
        </w:tc>
        <w:tc>
          <w:tcPr>
            <w:tcW w:w="1459" w:type="dxa"/>
            <w:tcBorders>
              <w:left w:val="nil"/>
              <w:bottom w:val="nil"/>
              <w:right w:val="nil"/>
            </w:tcBorders>
          </w:tcPr>
          <w:p w14:paraId="7CD1282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w:t>
            </w:r>
          </w:p>
        </w:tc>
        <w:tc>
          <w:tcPr>
            <w:tcW w:w="1460" w:type="dxa"/>
            <w:tcBorders>
              <w:left w:val="nil"/>
              <w:bottom w:val="nil"/>
              <w:right w:val="nil"/>
            </w:tcBorders>
          </w:tcPr>
          <w:p w14:paraId="7EFD8A3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w:t>
            </w:r>
          </w:p>
        </w:tc>
        <w:tc>
          <w:tcPr>
            <w:tcW w:w="1460" w:type="dxa"/>
            <w:tcBorders>
              <w:left w:val="nil"/>
              <w:bottom w:val="nil"/>
              <w:right w:val="nil"/>
            </w:tcBorders>
          </w:tcPr>
          <w:p w14:paraId="5FAC9FD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w:t>
            </w:r>
          </w:p>
        </w:tc>
      </w:tr>
      <w:tr w:rsidR="009E1D45" w14:paraId="22D6E565" w14:textId="77777777" w:rsidTr="001019DE">
        <w:trPr>
          <w:trHeight w:val="284"/>
          <w:jc w:val="center"/>
        </w:trPr>
        <w:tc>
          <w:tcPr>
            <w:tcW w:w="2402" w:type="dxa"/>
            <w:tcBorders>
              <w:top w:val="single" w:sz="4" w:space="0" w:color="auto"/>
              <w:left w:val="nil"/>
              <w:bottom w:val="nil"/>
              <w:right w:val="nil"/>
            </w:tcBorders>
          </w:tcPr>
          <w:p w14:paraId="0B0E3BB7"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ACR</w:t>
            </w:r>
          </w:p>
        </w:tc>
        <w:tc>
          <w:tcPr>
            <w:tcW w:w="1459" w:type="dxa"/>
            <w:tcBorders>
              <w:top w:val="single" w:sz="4" w:space="0" w:color="auto"/>
              <w:left w:val="nil"/>
              <w:bottom w:val="nil"/>
              <w:right w:val="nil"/>
            </w:tcBorders>
          </w:tcPr>
          <w:p w14:paraId="3C158AC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313.197</w:t>
            </w:r>
            <w:r>
              <w:rPr>
                <w:rFonts w:ascii="Times New Roman" w:hAnsi="Times New Roman" w:cs="Times New Roman"/>
                <w:kern w:val="0"/>
                <w:vertAlign w:val="superscript"/>
              </w:rPr>
              <w:t>***</w:t>
            </w:r>
          </w:p>
        </w:tc>
        <w:tc>
          <w:tcPr>
            <w:tcW w:w="1460" w:type="dxa"/>
            <w:tcBorders>
              <w:top w:val="single" w:sz="4" w:space="0" w:color="auto"/>
              <w:left w:val="nil"/>
              <w:bottom w:val="nil"/>
              <w:right w:val="nil"/>
            </w:tcBorders>
          </w:tcPr>
          <w:p w14:paraId="217925E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-12.632</w:t>
            </w:r>
          </w:p>
        </w:tc>
        <w:tc>
          <w:tcPr>
            <w:tcW w:w="1460" w:type="dxa"/>
            <w:tcBorders>
              <w:top w:val="single" w:sz="4" w:space="0" w:color="auto"/>
              <w:left w:val="nil"/>
              <w:bottom w:val="nil"/>
              <w:right w:val="nil"/>
            </w:tcBorders>
          </w:tcPr>
          <w:p w14:paraId="3FB0825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-230.581</w:t>
            </w:r>
            <w:r>
              <w:rPr>
                <w:rFonts w:ascii="Times New Roman" w:hAnsi="Times New Roman" w:cs="Times New Roman"/>
                <w:kern w:val="0"/>
                <w:vertAlign w:val="superscript"/>
              </w:rPr>
              <w:t>***</w:t>
            </w:r>
          </w:p>
        </w:tc>
        <w:tc>
          <w:tcPr>
            <w:tcW w:w="1459" w:type="dxa"/>
            <w:tcBorders>
              <w:top w:val="single" w:sz="4" w:space="0" w:color="auto"/>
              <w:left w:val="nil"/>
              <w:bottom w:val="nil"/>
              <w:right w:val="nil"/>
            </w:tcBorders>
          </w:tcPr>
          <w:p w14:paraId="7185E30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43.168</w:t>
            </w:r>
            <w:r>
              <w:rPr>
                <w:rFonts w:ascii="Times New Roman" w:hAnsi="Times New Roman" w:cs="Times New Roman"/>
                <w:kern w:val="0"/>
                <w:vertAlign w:val="superscript"/>
              </w:rPr>
              <w:t>***</w:t>
            </w:r>
          </w:p>
        </w:tc>
        <w:tc>
          <w:tcPr>
            <w:tcW w:w="1460" w:type="dxa"/>
            <w:tcBorders>
              <w:top w:val="single" w:sz="4" w:space="0" w:color="auto"/>
              <w:left w:val="nil"/>
              <w:bottom w:val="nil"/>
              <w:right w:val="nil"/>
            </w:tcBorders>
          </w:tcPr>
          <w:p w14:paraId="38637B0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120.161</w:t>
            </w:r>
            <w:r>
              <w:rPr>
                <w:rFonts w:ascii="Times New Roman" w:hAnsi="Times New Roman" w:cs="Times New Roman"/>
                <w:kern w:val="0"/>
                <w:vertAlign w:val="superscript"/>
              </w:rPr>
              <w:t>**</w:t>
            </w:r>
          </w:p>
        </w:tc>
        <w:tc>
          <w:tcPr>
            <w:tcW w:w="1460" w:type="dxa"/>
            <w:tcBorders>
              <w:top w:val="single" w:sz="4" w:space="0" w:color="auto"/>
              <w:left w:val="nil"/>
              <w:bottom w:val="nil"/>
              <w:right w:val="nil"/>
            </w:tcBorders>
          </w:tcPr>
          <w:p w14:paraId="5B74972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-10.080</w:t>
            </w:r>
          </w:p>
        </w:tc>
      </w:tr>
      <w:tr w:rsidR="009E1D45" w14:paraId="1D22F050" w14:textId="77777777" w:rsidTr="001019DE">
        <w:trPr>
          <w:trHeight w:val="305"/>
          <w:jc w:val="center"/>
        </w:trPr>
        <w:tc>
          <w:tcPr>
            <w:tcW w:w="2402" w:type="dxa"/>
            <w:tcBorders>
              <w:top w:val="nil"/>
              <w:left w:val="nil"/>
              <w:bottom w:val="nil"/>
              <w:right w:val="nil"/>
            </w:tcBorders>
          </w:tcPr>
          <w:p w14:paraId="292B18B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755F700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(69.668)</w:t>
            </w:r>
          </w:p>
        </w:tc>
        <w:tc>
          <w:tcPr>
            <w:tcW w:w="1460" w:type="dxa"/>
            <w:tcBorders>
              <w:top w:val="nil"/>
              <w:left w:val="nil"/>
              <w:bottom w:val="nil"/>
              <w:right w:val="nil"/>
            </w:tcBorders>
          </w:tcPr>
          <w:p w14:paraId="6959B70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(44.061)</w:t>
            </w:r>
          </w:p>
        </w:tc>
        <w:tc>
          <w:tcPr>
            <w:tcW w:w="1460" w:type="dxa"/>
            <w:tcBorders>
              <w:top w:val="nil"/>
              <w:left w:val="nil"/>
              <w:bottom w:val="nil"/>
              <w:right w:val="nil"/>
            </w:tcBorders>
          </w:tcPr>
          <w:p w14:paraId="31D046F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(54.242)</w:t>
            </w:r>
          </w:p>
        </w:tc>
        <w:tc>
          <w:tcPr>
            <w:tcW w:w="1459" w:type="dxa"/>
            <w:tcBorders>
              <w:top w:val="nil"/>
              <w:left w:val="nil"/>
              <w:bottom w:val="nil"/>
              <w:right w:val="nil"/>
            </w:tcBorders>
          </w:tcPr>
          <w:p w14:paraId="1E3F320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(12.579)</w:t>
            </w:r>
          </w:p>
        </w:tc>
        <w:tc>
          <w:tcPr>
            <w:tcW w:w="1460" w:type="dxa"/>
            <w:tcBorders>
              <w:top w:val="nil"/>
              <w:left w:val="nil"/>
              <w:bottom w:val="nil"/>
              <w:right w:val="nil"/>
            </w:tcBorders>
          </w:tcPr>
          <w:p w14:paraId="796EBDC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(47.759)</w:t>
            </w:r>
          </w:p>
        </w:tc>
        <w:tc>
          <w:tcPr>
            <w:tcW w:w="1460" w:type="dxa"/>
            <w:tcBorders>
              <w:top w:val="nil"/>
              <w:left w:val="nil"/>
              <w:bottom w:val="nil"/>
              <w:right w:val="nil"/>
            </w:tcBorders>
          </w:tcPr>
          <w:p w14:paraId="28749FC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(8.750)</w:t>
            </w:r>
          </w:p>
        </w:tc>
      </w:tr>
      <w:tr w:rsidR="009E1D45" w14:paraId="20E4E444" w14:textId="77777777" w:rsidTr="001019DE">
        <w:trPr>
          <w:trHeight w:val="305"/>
          <w:jc w:val="center"/>
        </w:trPr>
        <w:tc>
          <w:tcPr>
            <w:tcW w:w="2402" w:type="dxa"/>
            <w:tcBorders>
              <w:top w:val="nil"/>
              <w:left w:val="nil"/>
              <w:bottom w:val="nil"/>
              <w:right w:val="nil"/>
            </w:tcBorders>
          </w:tcPr>
          <w:p w14:paraId="6069DE10"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Female</w:t>
            </w:r>
          </w:p>
        </w:tc>
        <w:tc>
          <w:tcPr>
            <w:tcW w:w="1459" w:type="dxa"/>
            <w:tcBorders>
              <w:top w:val="nil"/>
              <w:left w:val="nil"/>
              <w:bottom w:val="nil"/>
              <w:right w:val="nil"/>
            </w:tcBorders>
          </w:tcPr>
          <w:p w14:paraId="5879041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1981.490</w:t>
            </w:r>
            <w:r>
              <w:rPr>
                <w:rFonts w:ascii="Times New Roman" w:hAnsi="Times New Roman" w:cs="Times New Roman"/>
                <w:kern w:val="0"/>
                <w:vertAlign w:val="superscript"/>
              </w:rPr>
              <w:t>**</w:t>
            </w:r>
          </w:p>
        </w:tc>
        <w:tc>
          <w:tcPr>
            <w:tcW w:w="1460" w:type="dxa"/>
            <w:tcBorders>
              <w:top w:val="nil"/>
              <w:left w:val="nil"/>
              <w:bottom w:val="nil"/>
              <w:right w:val="nil"/>
            </w:tcBorders>
          </w:tcPr>
          <w:p w14:paraId="359E14D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1219.671</w:t>
            </w:r>
            <w:r>
              <w:rPr>
                <w:rFonts w:ascii="Times New Roman" w:hAnsi="Times New Roman" w:cs="Times New Roman"/>
                <w:kern w:val="0"/>
                <w:vertAlign w:val="superscript"/>
              </w:rPr>
              <w:t>*</w:t>
            </w:r>
          </w:p>
        </w:tc>
        <w:tc>
          <w:tcPr>
            <w:tcW w:w="1460" w:type="dxa"/>
            <w:tcBorders>
              <w:top w:val="nil"/>
              <w:left w:val="nil"/>
              <w:bottom w:val="nil"/>
              <w:right w:val="nil"/>
            </w:tcBorders>
          </w:tcPr>
          <w:p w14:paraId="0C92179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-1094.842</w:t>
            </w:r>
          </w:p>
        </w:tc>
        <w:tc>
          <w:tcPr>
            <w:tcW w:w="1459" w:type="dxa"/>
            <w:tcBorders>
              <w:top w:val="nil"/>
              <w:left w:val="nil"/>
              <w:bottom w:val="nil"/>
              <w:right w:val="nil"/>
            </w:tcBorders>
          </w:tcPr>
          <w:p w14:paraId="5BA0622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-477.924</w:t>
            </w:r>
          </w:p>
        </w:tc>
        <w:tc>
          <w:tcPr>
            <w:tcW w:w="1460" w:type="dxa"/>
            <w:tcBorders>
              <w:top w:val="nil"/>
              <w:left w:val="nil"/>
              <w:bottom w:val="nil"/>
              <w:right w:val="nil"/>
            </w:tcBorders>
          </w:tcPr>
          <w:p w14:paraId="32E38CD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692.885</w:t>
            </w:r>
          </w:p>
        </w:tc>
        <w:tc>
          <w:tcPr>
            <w:tcW w:w="1460" w:type="dxa"/>
            <w:tcBorders>
              <w:top w:val="nil"/>
              <w:left w:val="nil"/>
              <w:bottom w:val="nil"/>
              <w:right w:val="nil"/>
            </w:tcBorders>
          </w:tcPr>
          <w:p w14:paraId="5E9F50A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163.486</w:t>
            </w:r>
          </w:p>
        </w:tc>
      </w:tr>
      <w:tr w:rsidR="009E1D45" w14:paraId="49A921F5" w14:textId="77777777" w:rsidTr="001019DE">
        <w:trPr>
          <w:trHeight w:val="305"/>
          <w:jc w:val="center"/>
        </w:trPr>
        <w:tc>
          <w:tcPr>
            <w:tcW w:w="2402" w:type="dxa"/>
            <w:tcBorders>
              <w:top w:val="nil"/>
              <w:left w:val="nil"/>
              <w:bottom w:val="nil"/>
              <w:right w:val="nil"/>
            </w:tcBorders>
          </w:tcPr>
          <w:p w14:paraId="0815CBE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473B8C5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(903.048)</w:t>
            </w:r>
          </w:p>
        </w:tc>
        <w:tc>
          <w:tcPr>
            <w:tcW w:w="1460" w:type="dxa"/>
            <w:tcBorders>
              <w:top w:val="nil"/>
              <w:left w:val="nil"/>
              <w:bottom w:val="nil"/>
              <w:right w:val="nil"/>
            </w:tcBorders>
          </w:tcPr>
          <w:p w14:paraId="5284E83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(613.620)</w:t>
            </w:r>
          </w:p>
        </w:tc>
        <w:tc>
          <w:tcPr>
            <w:tcW w:w="1460" w:type="dxa"/>
            <w:tcBorders>
              <w:top w:val="nil"/>
              <w:left w:val="nil"/>
              <w:bottom w:val="nil"/>
              <w:right w:val="nil"/>
            </w:tcBorders>
          </w:tcPr>
          <w:p w14:paraId="4FCE29D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(1671.771)</w:t>
            </w:r>
          </w:p>
        </w:tc>
        <w:tc>
          <w:tcPr>
            <w:tcW w:w="1459" w:type="dxa"/>
            <w:tcBorders>
              <w:top w:val="nil"/>
              <w:left w:val="nil"/>
              <w:bottom w:val="nil"/>
              <w:right w:val="nil"/>
            </w:tcBorders>
          </w:tcPr>
          <w:p w14:paraId="3327704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(460.512)</w:t>
            </w:r>
          </w:p>
        </w:tc>
        <w:tc>
          <w:tcPr>
            <w:tcW w:w="1460" w:type="dxa"/>
            <w:tcBorders>
              <w:top w:val="nil"/>
              <w:left w:val="nil"/>
              <w:bottom w:val="nil"/>
              <w:right w:val="nil"/>
            </w:tcBorders>
          </w:tcPr>
          <w:p w14:paraId="0B0BFBF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(599.959)</w:t>
            </w:r>
          </w:p>
        </w:tc>
        <w:tc>
          <w:tcPr>
            <w:tcW w:w="1460" w:type="dxa"/>
            <w:tcBorders>
              <w:top w:val="nil"/>
              <w:left w:val="nil"/>
              <w:bottom w:val="nil"/>
              <w:right w:val="nil"/>
            </w:tcBorders>
          </w:tcPr>
          <w:p w14:paraId="65CECD5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(256.789)</w:t>
            </w:r>
          </w:p>
        </w:tc>
      </w:tr>
      <w:tr w:rsidR="009E1D45" w14:paraId="65838E1A" w14:textId="77777777" w:rsidTr="001019DE">
        <w:trPr>
          <w:trHeight w:val="284"/>
          <w:jc w:val="center"/>
        </w:trPr>
        <w:tc>
          <w:tcPr>
            <w:tcW w:w="2402" w:type="dxa"/>
            <w:tcBorders>
              <w:top w:val="nil"/>
              <w:left w:val="nil"/>
              <w:bottom w:val="nil"/>
              <w:right w:val="nil"/>
            </w:tcBorders>
          </w:tcPr>
          <w:p w14:paraId="78887E2E"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w:t>
            </w:r>
            <w:proofErr w:type="gramStart"/>
            <w:r>
              <w:rPr>
                <w:rFonts w:ascii="Times New Roman" w:hAnsi="Times New Roman" w:cs="Times New Roman"/>
                <w:kern w:val="0"/>
              </w:rPr>
              <w:t>Non-White</w:t>
            </w:r>
            <w:proofErr w:type="gramEnd"/>
          </w:p>
        </w:tc>
        <w:tc>
          <w:tcPr>
            <w:tcW w:w="1459" w:type="dxa"/>
            <w:tcBorders>
              <w:top w:val="nil"/>
              <w:left w:val="nil"/>
              <w:bottom w:val="nil"/>
              <w:right w:val="nil"/>
            </w:tcBorders>
          </w:tcPr>
          <w:p w14:paraId="275DA42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-1690.399</w:t>
            </w:r>
            <w:r>
              <w:rPr>
                <w:rFonts w:ascii="Times New Roman" w:hAnsi="Times New Roman" w:cs="Times New Roman"/>
                <w:kern w:val="0"/>
                <w:vertAlign w:val="superscript"/>
              </w:rPr>
              <w:t>*</w:t>
            </w:r>
          </w:p>
        </w:tc>
        <w:tc>
          <w:tcPr>
            <w:tcW w:w="1460" w:type="dxa"/>
            <w:tcBorders>
              <w:top w:val="nil"/>
              <w:left w:val="nil"/>
              <w:bottom w:val="nil"/>
              <w:right w:val="nil"/>
            </w:tcBorders>
          </w:tcPr>
          <w:p w14:paraId="4E6FF06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-344.832</w:t>
            </w:r>
          </w:p>
        </w:tc>
        <w:tc>
          <w:tcPr>
            <w:tcW w:w="1460" w:type="dxa"/>
            <w:tcBorders>
              <w:top w:val="nil"/>
              <w:left w:val="nil"/>
              <w:bottom w:val="nil"/>
              <w:right w:val="nil"/>
            </w:tcBorders>
          </w:tcPr>
          <w:p w14:paraId="3766265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462.563</w:t>
            </w:r>
          </w:p>
        </w:tc>
        <w:tc>
          <w:tcPr>
            <w:tcW w:w="1459" w:type="dxa"/>
            <w:tcBorders>
              <w:top w:val="nil"/>
              <w:left w:val="nil"/>
              <w:bottom w:val="nil"/>
              <w:right w:val="nil"/>
            </w:tcBorders>
          </w:tcPr>
          <w:p w14:paraId="64D899C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-24.911</w:t>
            </w:r>
          </w:p>
        </w:tc>
        <w:tc>
          <w:tcPr>
            <w:tcW w:w="1460" w:type="dxa"/>
            <w:tcBorders>
              <w:top w:val="nil"/>
              <w:left w:val="nil"/>
              <w:bottom w:val="nil"/>
              <w:right w:val="nil"/>
            </w:tcBorders>
          </w:tcPr>
          <w:p w14:paraId="649196B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829.100</w:t>
            </w:r>
          </w:p>
        </w:tc>
        <w:tc>
          <w:tcPr>
            <w:tcW w:w="1460" w:type="dxa"/>
            <w:tcBorders>
              <w:top w:val="nil"/>
              <w:left w:val="nil"/>
              <w:bottom w:val="nil"/>
              <w:right w:val="nil"/>
            </w:tcBorders>
          </w:tcPr>
          <w:p w14:paraId="4050596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146.446</w:t>
            </w:r>
            <w:r>
              <w:rPr>
                <w:rFonts w:ascii="Times New Roman" w:hAnsi="Times New Roman" w:cs="Times New Roman"/>
                <w:kern w:val="0"/>
                <w:vertAlign w:val="superscript"/>
              </w:rPr>
              <w:t>***</w:t>
            </w:r>
          </w:p>
        </w:tc>
      </w:tr>
      <w:tr w:rsidR="009E1D45" w14:paraId="1221A111" w14:textId="77777777" w:rsidTr="001019DE">
        <w:trPr>
          <w:trHeight w:val="305"/>
          <w:jc w:val="center"/>
        </w:trPr>
        <w:tc>
          <w:tcPr>
            <w:tcW w:w="2402" w:type="dxa"/>
            <w:tcBorders>
              <w:top w:val="nil"/>
              <w:left w:val="nil"/>
              <w:bottom w:val="nil"/>
              <w:right w:val="nil"/>
            </w:tcBorders>
          </w:tcPr>
          <w:p w14:paraId="02EF5DAE"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33E994B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(894.834)</w:t>
            </w:r>
          </w:p>
        </w:tc>
        <w:tc>
          <w:tcPr>
            <w:tcW w:w="1460" w:type="dxa"/>
            <w:tcBorders>
              <w:top w:val="nil"/>
              <w:left w:val="nil"/>
              <w:bottom w:val="nil"/>
              <w:right w:val="nil"/>
            </w:tcBorders>
          </w:tcPr>
          <w:p w14:paraId="22FABBF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(573.055)</w:t>
            </w:r>
          </w:p>
        </w:tc>
        <w:tc>
          <w:tcPr>
            <w:tcW w:w="1460" w:type="dxa"/>
            <w:tcBorders>
              <w:top w:val="nil"/>
              <w:left w:val="nil"/>
              <w:bottom w:val="nil"/>
              <w:right w:val="nil"/>
            </w:tcBorders>
          </w:tcPr>
          <w:p w14:paraId="08091BB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(444.362)</w:t>
            </w:r>
          </w:p>
        </w:tc>
        <w:tc>
          <w:tcPr>
            <w:tcW w:w="1459" w:type="dxa"/>
            <w:tcBorders>
              <w:top w:val="nil"/>
              <w:left w:val="nil"/>
              <w:bottom w:val="nil"/>
              <w:right w:val="nil"/>
            </w:tcBorders>
          </w:tcPr>
          <w:p w14:paraId="6079FFE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(190.387)</w:t>
            </w:r>
          </w:p>
        </w:tc>
        <w:tc>
          <w:tcPr>
            <w:tcW w:w="1460" w:type="dxa"/>
            <w:tcBorders>
              <w:top w:val="nil"/>
              <w:left w:val="nil"/>
              <w:bottom w:val="nil"/>
              <w:right w:val="nil"/>
            </w:tcBorders>
          </w:tcPr>
          <w:p w14:paraId="435BC78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(519.482)</w:t>
            </w:r>
          </w:p>
        </w:tc>
        <w:tc>
          <w:tcPr>
            <w:tcW w:w="1460" w:type="dxa"/>
            <w:tcBorders>
              <w:top w:val="nil"/>
              <w:left w:val="nil"/>
              <w:bottom w:val="nil"/>
              <w:right w:val="nil"/>
            </w:tcBorders>
          </w:tcPr>
          <w:p w14:paraId="3302EBE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(35.355)</w:t>
            </w:r>
          </w:p>
        </w:tc>
      </w:tr>
      <w:tr w:rsidR="009E1D45" w14:paraId="251F2A92" w14:textId="77777777" w:rsidTr="001019DE">
        <w:trPr>
          <w:trHeight w:val="305"/>
          <w:jc w:val="center"/>
        </w:trPr>
        <w:tc>
          <w:tcPr>
            <w:tcW w:w="2402" w:type="dxa"/>
            <w:tcBorders>
              <w:top w:val="nil"/>
              <w:left w:val="nil"/>
              <w:bottom w:val="nil"/>
              <w:right w:val="nil"/>
            </w:tcBorders>
          </w:tcPr>
          <w:p w14:paraId="2F2CC4F8"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Econ. </w:t>
            </w:r>
            <w:proofErr w:type="spellStart"/>
            <w:r>
              <w:rPr>
                <w:rFonts w:ascii="Times New Roman" w:hAnsi="Times New Roman" w:cs="Times New Roman"/>
                <w:kern w:val="0"/>
              </w:rPr>
              <w:t>Disad</w:t>
            </w:r>
            <w:proofErr w:type="spellEnd"/>
            <w:r>
              <w:rPr>
                <w:rFonts w:ascii="Times New Roman" w:hAnsi="Times New Roman" w:cs="Times New Roman"/>
                <w:kern w:val="0"/>
              </w:rPr>
              <w:t>.</w:t>
            </w:r>
          </w:p>
        </w:tc>
        <w:tc>
          <w:tcPr>
            <w:tcW w:w="1459" w:type="dxa"/>
            <w:tcBorders>
              <w:top w:val="nil"/>
              <w:left w:val="nil"/>
              <w:bottom w:val="nil"/>
              <w:right w:val="nil"/>
            </w:tcBorders>
          </w:tcPr>
          <w:p w14:paraId="638D35F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423.379</w:t>
            </w:r>
          </w:p>
        </w:tc>
        <w:tc>
          <w:tcPr>
            <w:tcW w:w="1460" w:type="dxa"/>
            <w:tcBorders>
              <w:top w:val="nil"/>
              <w:left w:val="nil"/>
              <w:bottom w:val="nil"/>
              <w:right w:val="nil"/>
            </w:tcBorders>
          </w:tcPr>
          <w:p w14:paraId="3B5CE0D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19.010</w:t>
            </w:r>
          </w:p>
        </w:tc>
        <w:tc>
          <w:tcPr>
            <w:tcW w:w="1460" w:type="dxa"/>
            <w:tcBorders>
              <w:top w:val="nil"/>
              <w:left w:val="nil"/>
              <w:bottom w:val="nil"/>
              <w:right w:val="nil"/>
            </w:tcBorders>
          </w:tcPr>
          <w:p w14:paraId="752B295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4.577</w:t>
            </w:r>
          </w:p>
        </w:tc>
        <w:tc>
          <w:tcPr>
            <w:tcW w:w="1459" w:type="dxa"/>
            <w:tcBorders>
              <w:top w:val="nil"/>
              <w:left w:val="nil"/>
              <w:bottom w:val="nil"/>
              <w:right w:val="nil"/>
            </w:tcBorders>
          </w:tcPr>
          <w:p w14:paraId="13DEE60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71.361</w:t>
            </w:r>
          </w:p>
        </w:tc>
        <w:tc>
          <w:tcPr>
            <w:tcW w:w="1460" w:type="dxa"/>
            <w:tcBorders>
              <w:top w:val="nil"/>
              <w:left w:val="nil"/>
              <w:bottom w:val="nil"/>
              <w:right w:val="nil"/>
            </w:tcBorders>
          </w:tcPr>
          <w:p w14:paraId="692A423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152.019</w:t>
            </w:r>
            <w:r>
              <w:rPr>
                <w:rFonts w:ascii="Times New Roman" w:hAnsi="Times New Roman" w:cs="Times New Roman"/>
                <w:kern w:val="0"/>
                <w:vertAlign w:val="superscript"/>
              </w:rPr>
              <w:t>**</w:t>
            </w:r>
          </w:p>
        </w:tc>
        <w:tc>
          <w:tcPr>
            <w:tcW w:w="1460" w:type="dxa"/>
            <w:tcBorders>
              <w:top w:val="nil"/>
              <w:left w:val="nil"/>
              <w:bottom w:val="nil"/>
              <w:right w:val="nil"/>
            </w:tcBorders>
          </w:tcPr>
          <w:p w14:paraId="153B75B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-9.340</w:t>
            </w:r>
          </w:p>
        </w:tc>
      </w:tr>
      <w:tr w:rsidR="009E1D45" w14:paraId="39906DF0" w14:textId="77777777" w:rsidTr="001019DE">
        <w:trPr>
          <w:trHeight w:val="305"/>
          <w:jc w:val="center"/>
        </w:trPr>
        <w:tc>
          <w:tcPr>
            <w:tcW w:w="2402" w:type="dxa"/>
            <w:tcBorders>
              <w:top w:val="nil"/>
              <w:left w:val="nil"/>
              <w:bottom w:val="nil"/>
              <w:right w:val="nil"/>
            </w:tcBorders>
          </w:tcPr>
          <w:p w14:paraId="37B0F503"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1AB442F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(321.135)</w:t>
            </w:r>
          </w:p>
        </w:tc>
        <w:tc>
          <w:tcPr>
            <w:tcW w:w="1460" w:type="dxa"/>
            <w:tcBorders>
              <w:top w:val="nil"/>
              <w:left w:val="nil"/>
              <w:bottom w:val="nil"/>
              <w:right w:val="nil"/>
            </w:tcBorders>
          </w:tcPr>
          <w:p w14:paraId="107AC80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(126.505)</w:t>
            </w:r>
          </w:p>
        </w:tc>
        <w:tc>
          <w:tcPr>
            <w:tcW w:w="1460" w:type="dxa"/>
            <w:tcBorders>
              <w:top w:val="nil"/>
              <w:left w:val="nil"/>
              <w:bottom w:val="nil"/>
              <w:right w:val="nil"/>
            </w:tcBorders>
          </w:tcPr>
          <w:p w14:paraId="51580EB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(150.246)</w:t>
            </w:r>
          </w:p>
        </w:tc>
        <w:tc>
          <w:tcPr>
            <w:tcW w:w="1459" w:type="dxa"/>
            <w:tcBorders>
              <w:top w:val="nil"/>
              <w:left w:val="nil"/>
              <w:bottom w:val="nil"/>
              <w:right w:val="nil"/>
            </w:tcBorders>
          </w:tcPr>
          <w:p w14:paraId="3A38F3A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(80.347)</w:t>
            </w:r>
          </w:p>
        </w:tc>
        <w:tc>
          <w:tcPr>
            <w:tcW w:w="1460" w:type="dxa"/>
            <w:tcBorders>
              <w:top w:val="nil"/>
              <w:left w:val="nil"/>
              <w:bottom w:val="nil"/>
              <w:right w:val="nil"/>
            </w:tcBorders>
          </w:tcPr>
          <w:p w14:paraId="35E7DC2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(68.737)</w:t>
            </w:r>
          </w:p>
        </w:tc>
        <w:tc>
          <w:tcPr>
            <w:tcW w:w="1460" w:type="dxa"/>
            <w:tcBorders>
              <w:top w:val="nil"/>
              <w:left w:val="nil"/>
              <w:bottom w:val="nil"/>
              <w:right w:val="nil"/>
            </w:tcBorders>
          </w:tcPr>
          <w:p w14:paraId="1AF4BA0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(28.163)</w:t>
            </w:r>
          </w:p>
        </w:tc>
      </w:tr>
      <w:tr w:rsidR="009E1D45" w14:paraId="7999FC62" w14:textId="77777777" w:rsidTr="001019DE">
        <w:trPr>
          <w:trHeight w:val="305"/>
          <w:jc w:val="center"/>
        </w:trPr>
        <w:tc>
          <w:tcPr>
            <w:tcW w:w="2402" w:type="dxa"/>
            <w:tcBorders>
              <w:top w:val="nil"/>
              <w:left w:val="nil"/>
              <w:bottom w:val="nil"/>
              <w:right w:val="nil"/>
            </w:tcBorders>
          </w:tcPr>
          <w:p w14:paraId="74D66527"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SWD</w:t>
            </w:r>
          </w:p>
        </w:tc>
        <w:tc>
          <w:tcPr>
            <w:tcW w:w="1459" w:type="dxa"/>
            <w:tcBorders>
              <w:top w:val="nil"/>
              <w:left w:val="nil"/>
              <w:bottom w:val="nil"/>
              <w:right w:val="nil"/>
            </w:tcBorders>
          </w:tcPr>
          <w:p w14:paraId="5FF3889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963.307</w:t>
            </w:r>
          </w:p>
        </w:tc>
        <w:tc>
          <w:tcPr>
            <w:tcW w:w="1460" w:type="dxa"/>
            <w:tcBorders>
              <w:top w:val="nil"/>
              <w:left w:val="nil"/>
              <w:bottom w:val="nil"/>
              <w:right w:val="nil"/>
            </w:tcBorders>
          </w:tcPr>
          <w:p w14:paraId="1CCD148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-64.465</w:t>
            </w:r>
          </w:p>
        </w:tc>
        <w:tc>
          <w:tcPr>
            <w:tcW w:w="1460" w:type="dxa"/>
            <w:tcBorders>
              <w:top w:val="nil"/>
              <w:left w:val="nil"/>
              <w:bottom w:val="nil"/>
              <w:right w:val="nil"/>
            </w:tcBorders>
          </w:tcPr>
          <w:p w14:paraId="029A486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-344.995</w:t>
            </w:r>
          </w:p>
        </w:tc>
        <w:tc>
          <w:tcPr>
            <w:tcW w:w="1459" w:type="dxa"/>
            <w:tcBorders>
              <w:top w:val="nil"/>
              <w:left w:val="nil"/>
              <w:bottom w:val="nil"/>
              <w:right w:val="nil"/>
            </w:tcBorders>
          </w:tcPr>
          <w:p w14:paraId="73D96A5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263.347</w:t>
            </w:r>
          </w:p>
        </w:tc>
        <w:tc>
          <w:tcPr>
            <w:tcW w:w="1460" w:type="dxa"/>
            <w:tcBorders>
              <w:top w:val="nil"/>
              <w:left w:val="nil"/>
              <w:bottom w:val="nil"/>
              <w:right w:val="nil"/>
            </w:tcBorders>
          </w:tcPr>
          <w:p w14:paraId="76D094C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-79.048</w:t>
            </w:r>
          </w:p>
        </w:tc>
        <w:tc>
          <w:tcPr>
            <w:tcW w:w="1460" w:type="dxa"/>
            <w:tcBorders>
              <w:top w:val="nil"/>
              <w:left w:val="nil"/>
              <w:bottom w:val="nil"/>
              <w:right w:val="nil"/>
            </w:tcBorders>
          </w:tcPr>
          <w:p w14:paraId="3AE8373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76.752</w:t>
            </w:r>
          </w:p>
        </w:tc>
      </w:tr>
      <w:tr w:rsidR="009E1D45" w14:paraId="14FD21C4" w14:textId="77777777" w:rsidTr="001019DE">
        <w:trPr>
          <w:trHeight w:val="284"/>
          <w:jc w:val="center"/>
        </w:trPr>
        <w:tc>
          <w:tcPr>
            <w:tcW w:w="2402" w:type="dxa"/>
            <w:tcBorders>
              <w:top w:val="nil"/>
              <w:left w:val="nil"/>
              <w:bottom w:val="nil"/>
              <w:right w:val="nil"/>
            </w:tcBorders>
          </w:tcPr>
          <w:p w14:paraId="2374348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3C104C0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(911.753)</w:t>
            </w:r>
          </w:p>
        </w:tc>
        <w:tc>
          <w:tcPr>
            <w:tcW w:w="1460" w:type="dxa"/>
            <w:tcBorders>
              <w:top w:val="nil"/>
              <w:left w:val="nil"/>
              <w:bottom w:val="nil"/>
              <w:right w:val="nil"/>
            </w:tcBorders>
          </w:tcPr>
          <w:p w14:paraId="5842783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(610.041)</w:t>
            </w:r>
          </w:p>
        </w:tc>
        <w:tc>
          <w:tcPr>
            <w:tcW w:w="1460" w:type="dxa"/>
            <w:tcBorders>
              <w:top w:val="nil"/>
              <w:left w:val="nil"/>
              <w:bottom w:val="nil"/>
              <w:right w:val="nil"/>
            </w:tcBorders>
          </w:tcPr>
          <w:p w14:paraId="090AF2F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(813.820)</w:t>
            </w:r>
          </w:p>
        </w:tc>
        <w:tc>
          <w:tcPr>
            <w:tcW w:w="1459" w:type="dxa"/>
            <w:tcBorders>
              <w:top w:val="nil"/>
              <w:left w:val="nil"/>
              <w:bottom w:val="nil"/>
              <w:right w:val="nil"/>
            </w:tcBorders>
          </w:tcPr>
          <w:p w14:paraId="0417691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(215.179)</w:t>
            </w:r>
          </w:p>
        </w:tc>
        <w:tc>
          <w:tcPr>
            <w:tcW w:w="1460" w:type="dxa"/>
            <w:tcBorders>
              <w:top w:val="nil"/>
              <w:left w:val="nil"/>
              <w:bottom w:val="nil"/>
              <w:right w:val="nil"/>
            </w:tcBorders>
          </w:tcPr>
          <w:p w14:paraId="112740C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(420.576)</w:t>
            </w:r>
          </w:p>
        </w:tc>
        <w:tc>
          <w:tcPr>
            <w:tcW w:w="1460" w:type="dxa"/>
            <w:tcBorders>
              <w:top w:val="nil"/>
              <w:left w:val="nil"/>
              <w:bottom w:val="nil"/>
              <w:right w:val="nil"/>
            </w:tcBorders>
          </w:tcPr>
          <w:p w14:paraId="29ED706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(109.422)</w:t>
            </w:r>
          </w:p>
        </w:tc>
      </w:tr>
      <w:tr w:rsidR="009E1D45" w14:paraId="5E609460" w14:textId="77777777" w:rsidTr="001019DE">
        <w:trPr>
          <w:trHeight w:val="305"/>
          <w:jc w:val="center"/>
        </w:trPr>
        <w:tc>
          <w:tcPr>
            <w:tcW w:w="2402" w:type="dxa"/>
            <w:tcBorders>
              <w:top w:val="nil"/>
              <w:left w:val="nil"/>
              <w:bottom w:val="nil"/>
              <w:right w:val="nil"/>
            </w:tcBorders>
          </w:tcPr>
          <w:p w14:paraId="4E051E97"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Log Dist. Enrollment</w:t>
            </w:r>
          </w:p>
        </w:tc>
        <w:tc>
          <w:tcPr>
            <w:tcW w:w="1459" w:type="dxa"/>
            <w:tcBorders>
              <w:top w:val="nil"/>
              <w:left w:val="nil"/>
              <w:bottom w:val="nil"/>
              <w:right w:val="nil"/>
            </w:tcBorders>
          </w:tcPr>
          <w:p w14:paraId="35735E2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1080.541</w:t>
            </w:r>
            <w:r>
              <w:rPr>
                <w:rFonts w:ascii="Times New Roman" w:hAnsi="Times New Roman" w:cs="Times New Roman"/>
                <w:kern w:val="0"/>
                <w:vertAlign w:val="superscript"/>
              </w:rPr>
              <w:t>***</w:t>
            </w:r>
          </w:p>
        </w:tc>
        <w:tc>
          <w:tcPr>
            <w:tcW w:w="1460" w:type="dxa"/>
            <w:tcBorders>
              <w:top w:val="nil"/>
              <w:left w:val="nil"/>
              <w:bottom w:val="nil"/>
              <w:right w:val="nil"/>
            </w:tcBorders>
          </w:tcPr>
          <w:p w14:paraId="25EFA2B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529.146</w:t>
            </w:r>
            <w:r>
              <w:rPr>
                <w:rFonts w:ascii="Times New Roman" w:hAnsi="Times New Roman" w:cs="Times New Roman"/>
                <w:kern w:val="0"/>
                <w:vertAlign w:val="superscript"/>
              </w:rPr>
              <w:t>***</w:t>
            </w:r>
          </w:p>
        </w:tc>
        <w:tc>
          <w:tcPr>
            <w:tcW w:w="1460" w:type="dxa"/>
            <w:tcBorders>
              <w:top w:val="nil"/>
              <w:left w:val="nil"/>
              <w:bottom w:val="nil"/>
              <w:right w:val="nil"/>
            </w:tcBorders>
          </w:tcPr>
          <w:p w14:paraId="7542D25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-1868.648</w:t>
            </w:r>
            <w:r>
              <w:rPr>
                <w:rFonts w:ascii="Times New Roman" w:hAnsi="Times New Roman" w:cs="Times New Roman"/>
                <w:kern w:val="0"/>
                <w:vertAlign w:val="superscript"/>
              </w:rPr>
              <w:t>***</w:t>
            </w:r>
          </w:p>
        </w:tc>
        <w:tc>
          <w:tcPr>
            <w:tcW w:w="1459" w:type="dxa"/>
            <w:tcBorders>
              <w:top w:val="nil"/>
              <w:left w:val="nil"/>
              <w:bottom w:val="nil"/>
              <w:right w:val="nil"/>
            </w:tcBorders>
          </w:tcPr>
          <w:p w14:paraId="1F8C882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-264.802</w:t>
            </w:r>
            <w:r>
              <w:rPr>
                <w:rFonts w:ascii="Times New Roman" w:hAnsi="Times New Roman" w:cs="Times New Roman"/>
                <w:kern w:val="0"/>
                <w:vertAlign w:val="superscript"/>
              </w:rPr>
              <w:t>***</w:t>
            </w:r>
          </w:p>
        </w:tc>
        <w:tc>
          <w:tcPr>
            <w:tcW w:w="1460" w:type="dxa"/>
            <w:tcBorders>
              <w:top w:val="nil"/>
              <w:left w:val="nil"/>
              <w:bottom w:val="nil"/>
              <w:right w:val="nil"/>
            </w:tcBorders>
          </w:tcPr>
          <w:p w14:paraId="6D51437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-52.981</w:t>
            </w:r>
          </w:p>
        </w:tc>
        <w:tc>
          <w:tcPr>
            <w:tcW w:w="1460" w:type="dxa"/>
            <w:tcBorders>
              <w:top w:val="nil"/>
              <w:left w:val="nil"/>
              <w:bottom w:val="nil"/>
              <w:right w:val="nil"/>
            </w:tcBorders>
          </w:tcPr>
          <w:p w14:paraId="61964EF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-39.638</w:t>
            </w:r>
            <w:r>
              <w:rPr>
                <w:rFonts w:ascii="Times New Roman" w:hAnsi="Times New Roman" w:cs="Times New Roman"/>
                <w:kern w:val="0"/>
                <w:vertAlign w:val="superscript"/>
              </w:rPr>
              <w:t>*</w:t>
            </w:r>
          </w:p>
        </w:tc>
      </w:tr>
      <w:tr w:rsidR="009E1D45" w14:paraId="04A8260B" w14:textId="77777777" w:rsidTr="001019DE">
        <w:trPr>
          <w:trHeight w:val="305"/>
          <w:jc w:val="center"/>
        </w:trPr>
        <w:tc>
          <w:tcPr>
            <w:tcW w:w="2402" w:type="dxa"/>
            <w:tcBorders>
              <w:top w:val="nil"/>
              <w:left w:val="nil"/>
              <w:bottom w:val="single" w:sz="4" w:space="0" w:color="auto"/>
              <w:right w:val="nil"/>
            </w:tcBorders>
          </w:tcPr>
          <w:p w14:paraId="3A29129F"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single" w:sz="4" w:space="0" w:color="auto"/>
              <w:right w:val="nil"/>
            </w:tcBorders>
          </w:tcPr>
          <w:p w14:paraId="54BC3F3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(368.725)</w:t>
            </w:r>
          </w:p>
        </w:tc>
        <w:tc>
          <w:tcPr>
            <w:tcW w:w="1460" w:type="dxa"/>
            <w:tcBorders>
              <w:top w:val="nil"/>
              <w:left w:val="nil"/>
              <w:bottom w:val="single" w:sz="4" w:space="0" w:color="auto"/>
              <w:right w:val="nil"/>
            </w:tcBorders>
          </w:tcPr>
          <w:p w14:paraId="54D3136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(189.032)</w:t>
            </w:r>
          </w:p>
        </w:tc>
        <w:tc>
          <w:tcPr>
            <w:tcW w:w="1460" w:type="dxa"/>
            <w:tcBorders>
              <w:top w:val="nil"/>
              <w:left w:val="nil"/>
              <w:bottom w:val="single" w:sz="4" w:space="0" w:color="auto"/>
              <w:right w:val="nil"/>
            </w:tcBorders>
          </w:tcPr>
          <w:p w14:paraId="409D17A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(330.978)</w:t>
            </w:r>
          </w:p>
        </w:tc>
        <w:tc>
          <w:tcPr>
            <w:tcW w:w="1459" w:type="dxa"/>
            <w:tcBorders>
              <w:top w:val="nil"/>
              <w:left w:val="nil"/>
              <w:bottom w:val="single" w:sz="4" w:space="0" w:color="auto"/>
              <w:right w:val="nil"/>
            </w:tcBorders>
          </w:tcPr>
          <w:p w14:paraId="65A0964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(75.226)</w:t>
            </w:r>
          </w:p>
        </w:tc>
        <w:tc>
          <w:tcPr>
            <w:tcW w:w="1460" w:type="dxa"/>
            <w:tcBorders>
              <w:top w:val="nil"/>
              <w:left w:val="nil"/>
              <w:bottom w:val="single" w:sz="4" w:space="0" w:color="auto"/>
              <w:right w:val="nil"/>
            </w:tcBorders>
          </w:tcPr>
          <w:p w14:paraId="5CB2790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(48.291)</w:t>
            </w:r>
          </w:p>
        </w:tc>
        <w:tc>
          <w:tcPr>
            <w:tcW w:w="1460" w:type="dxa"/>
            <w:tcBorders>
              <w:top w:val="nil"/>
              <w:left w:val="nil"/>
              <w:bottom w:val="single" w:sz="4" w:space="0" w:color="auto"/>
              <w:right w:val="nil"/>
            </w:tcBorders>
          </w:tcPr>
          <w:p w14:paraId="45DB2F0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(21.467)</w:t>
            </w:r>
          </w:p>
        </w:tc>
      </w:tr>
      <w:tr w:rsidR="009E1D45" w14:paraId="5107E487" w14:textId="77777777" w:rsidTr="001019DE">
        <w:trPr>
          <w:trHeight w:val="284"/>
          <w:jc w:val="center"/>
        </w:trPr>
        <w:tc>
          <w:tcPr>
            <w:tcW w:w="2402" w:type="dxa"/>
            <w:tcBorders>
              <w:left w:val="nil"/>
              <w:bottom w:val="single" w:sz="4" w:space="0" w:color="auto"/>
              <w:right w:val="nil"/>
            </w:tcBorders>
          </w:tcPr>
          <w:p w14:paraId="41C8293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Observations</w:t>
            </w:r>
          </w:p>
        </w:tc>
        <w:tc>
          <w:tcPr>
            <w:tcW w:w="1459" w:type="dxa"/>
            <w:tcBorders>
              <w:left w:val="nil"/>
              <w:bottom w:val="single" w:sz="4" w:space="0" w:color="auto"/>
              <w:right w:val="nil"/>
            </w:tcBorders>
          </w:tcPr>
          <w:p w14:paraId="36E13BA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60" w:type="dxa"/>
            <w:tcBorders>
              <w:left w:val="nil"/>
              <w:bottom w:val="single" w:sz="4" w:space="0" w:color="auto"/>
              <w:right w:val="nil"/>
            </w:tcBorders>
          </w:tcPr>
          <w:p w14:paraId="79BA635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60" w:type="dxa"/>
            <w:tcBorders>
              <w:left w:val="nil"/>
              <w:bottom w:val="single" w:sz="4" w:space="0" w:color="auto"/>
              <w:right w:val="nil"/>
            </w:tcBorders>
          </w:tcPr>
          <w:p w14:paraId="7E82BDA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59" w:type="dxa"/>
            <w:tcBorders>
              <w:left w:val="nil"/>
              <w:bottom w:val="single" w:sz="4" w:space="0" w:color="auto"/>
              <w:right w:val="nil"/>
            </w:tcBorders>
          </w:tcPr>
          <w:p w14:paraId="78B1910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60" w:type="dxa"/>
            <w:tcBorders>
              <w:left w:val="nil"/>
              <w:bottom w:val="single" w:sz="4" w:space="0" w:color="auto"/>
              <w:right w:val="nil"/>
            </w:tcBorders>
          </w:tcPr>
          <w:p w14:paraId="4F163ED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60" w:type="dxa"/>
            <w:tcBorders>
              <w:left w:val="nil"/>
              <w:bottom w:val="single" w:sz="4" w:space="0" w:color="auto"/>
              <w:right w:val="nil"/>
            </w:tcBorders>
          </w:tcPr>
          <w:p w14:paraId="2374C07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r>
    </w:tbl>
    <w:p w14:paraId="36D6E656"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Average causal response estimates from Equation (1) aggregated using the weighted average of estimates in Equation (2). Dosage represents a continuous measure of the increase in the millage of the special education property tax in each ISD. Columns (1) and (2) present estimates from models with the dosage in a linear functional form, and columns (3) and (4) present models with a quadratic functional form. All standard errors clustered at the ISD-level and unconditional on covariates.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0.1,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0.05,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0.01</w:t>
      </w:r>
    </w:p>
    <w:p w14:paraId="4585C4C6" w14:textId="77777777" w:rsidR="009E1D45" w:rsidRDefault="009E1D45" w:rsidP="009E1D45">
      <w:pPr>
        <w:rPr>
          <w:rFonts w:ascii="Times New Roman" w:hAnsi="Times New Roman" w:cs="Times New Roman"/>
        </w:rPr>
      </w:pPr>
    </w:p>
    <w:p w14:paraId="579595AC" w14:textId="77777777" w:rsidR="009E1D45" w:rsidRDefault="009E1D45" w:rsidP="009E1D45">
      <w:pPr>
        <w:rPr>
          <w:rFonts w:ascii="Times New Roman" w:hAnsi="Times New Roman" w:cs="Times New Roman"/>
        </w:rPr>
        <w:sectPr w:rsidR="009E1D45" w:rsidSect="009E1D45">
          <w:pgSz w:w="12240" w:h="15840"/>
          <w:pgMar w:top="1440" w:right="1440" w:bottom="1440" w:left="1440" w:header="720" w:footer="720" w:gutter="0"/>
          <w:cols w:space="720"/>
          <w:docGrid w:linePitch="360"/>
        </w:sectPr>
      </w:pPr>
    </w:p>
    <w:p w14:paraId="37DAC41C"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Table A1: Summary of District-Level Financial and Student Demographic Data, 2003-04 through 2024-25 Academic Years</w:t>
      </w:r>
    </w:p>
    <w:tbl>
      <w:tblPr>
        <w:tblW w:w="7740" w:type="dxa"/>
        <w:jc w:val="center"/>
        <w:tblLook w:val="04A0" w:firstRow="1" w:lastRow="0" w:firstColumn="1" w:lastColumn="0" w:noHBand="0" w:noVBand="1"/>
      </w:tblPr>
      <w:tblGrid>
        <w:gridCol w:w="4480"/>
        <w:gridCol w:w="1640"/>
        <w:gridCol w:w="1620"/>
      </w:tblGrid>
      <w:tr w:rsidR="009E1D45" w:rsidRPr="000E0BBF" w14:paraId="60785473" w14:textId="77777777" w:rsidTr="001019DE">
        <w:trPr>
          <w:trHeight w:val="300"/>
          <w:jc w:val="center"/>
        </w:trPr>
        <w:tc>
          <w:tcPr>
            <w:tcW w:w="4480" w:type="dxa"/>
            <w:tcBorders>
              <w:top w:val="single" w:sz="4" w:space="0" w:color="auto"/>
              <w:left w:val="nil"/>
              <w:bottom w:val="single" w:sz="4" w:space="0" w:color="auto"/>
              <w:right w:val="nil"/>
            </w:tcBorders>
            <w:noWrap/>
            <w:vAlign w:val="bottom"/>
            <w:hideMark/>
          </w:tcPr>
          <w:p w14:paraId="5EA23A64"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single" w:sz="4" w:space="0" w:color="auto"/>
              <w:left w:val="nil"/>
              <w:bottom w:val="single" w:sz="4" w:space="0" w:color="auto"/>
              <w:right w:val="nil"/>
            </w:tcBorders>
            <w:noWrap/>
            <w:vAlign w:val="center"/>
            <w:hideMark/>
          </w:tcPr>
          <w:p w14:paraId="10A6EE77" w14:textId="77777777" w:rsidR="009E1D45" w:rsidRPr="000E0BBF" w:rsidRDefault="009E1D45" w:rsidP="001019DE">
            <w:pPr>
              <w:spacing w:after="0" w:line="240" w:lineRule="auto"/>
              <w:jc w:val="center"/>
              <w:rPr>
                <w:rFonts w:ascii="Times New Roman" w:eastAsia="Times New Roman" w:hAnsi="Times New Roman" w:cs="Times New Roman"/>
                <w:kern w:val="0"/>
                <w14:ligatures w14:val="none"/>
              </w:rPr>
            </w:pPr>
            <w:r w:rsidRPr="000E0BBF">
              <w:rPr>
                <w:rFonts w:ascii="Times New Roman" w:eastAsia="Times New Roman" w:hAnsi="Times New Roman" w:cs="Times New Roman"/>
                <w:kern w:val="0"/>
                <w14:ligatures w14:val="none"/>
              </w:rPr>
              <w:t>Control ISDs</w:t>
            </w:r>
          </w:p>
        </w:tc>
        <w:tc>
          <w:tcPr>
            <w:tcW w:w="1620" w:type="dxa"/>
            <w:tcBorders>
              <w:top w:val="single" w:sz="4" w:space="0" w:color="auto"/>
              <w:left w:val="nil"/>
              <w:bottom w:val="single" w:sz="4" w:space="0" w:color="auto"/>
              <w:right w:val="nil"/>
            </w:tcBorders>
            <w:vAlign w:val="center"/>
          </w:tcPr>
          <w:p w14:paraId="6F17006D" w14:textId="77777777" w:rsidR="009E1D45" w:rsidRPr="000E0BBF" w:rsidRDefault="009E1D45" w:rsidP="001019DE">
            <w:pPr>
              <w:spacing w:after="0" w:line="240" w:lineRule="auto"/>
              <w:jc w:val="center"/>
              <w:rPr>
                <w:rFonts w:ascii="Times New Roman" w:eastAsia="Times New Roman" w:hAnsi="Times New Roman" w:cs="Times New Roman"/>
                <w:kern w:val="0"/>
                <w14:ligatures w14:val="none"/>
              </w:rPr>
            </w:pPr>
            <w:r w:rsidRPr="000E0BBF">
              <w:rPr>
                <w:rFonts w:ascii="Times New Roman" w:eastAsia="Times New Roman" w:hAnsi="Times New Roman" w:cs="Times New Roman"/>
                <w:kern w:val="0"/>
                <w14:ligatures w14:val="none"/>
              </w:rPr>
              <w:t>Treated ISDs</w:t>
            </w:r>
          </w:p>
        </w:tc>
      </w:tr>
      <w:tr w:rsidR="009E1D45" w:rsidRPr="000E0BBF" w14:paraId="313518A0" w14:textId="77777777" w:rsidTr="001019DE">
        <w:trPr>
          <w:trHeight w:val="300"/>
          <w:jc w:val="center"/>
        </w:trPr>
        <w:tc>
          <w:tcPr>
            <w:tcW w:w="4480" w:type="dxa"/>
            <w:tcBorders>
              <w:top w:val="single" w:sz="4" w:space="0" w:color="auto"/>
              <w:left w:val="nil"/>
              <w:right w:val="nil"/>
            </w:tcBorders>
            <w:noWrap/>
            <w:vAlign w:val="bottom"/>
          </w:tcPr>
          <w:p w14:paraId="034CAD8D"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Total General Revenue Per Pupil</w:t>
            </w:r>
          </w:p>
        </w:tc>
        <w:tc>
          <w:tcPr>
            <w:tcW w:w="1640" w:type="dxa"/>
            <w:tcBorders>
              <w:top w:val="single" w:sz="4" w:space="0" w:color="auto"/>
              <w:left w:val="nil"/>
              <w:right w:val="nil"/>
            </w:tcBorders>
            <w:noWrap/>
            <w:vAlign w:val="bottom"/>
          </w:tcPr>
          <w:p w14:paraId="2FAAB1AC"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14,179.43</w:t>
            </w:r>
          </w:p>
        </w:tc>
        <w:tc>
          <w:tcPr>
            <w:tcW w:w="1620" w:type="dxa"/>
            <w:tcBorders>
              <w:top w:val="single" w:sz="4" w:space="0" w:color="auto"/>
              <w:left w:val="nil"/>
              <w:right w:val="nil"/>
            </w:tcBorders>
            <w:vAlign w:val="bottom"/>
          </w:tcPr>
          <w:p w14:paraId="426ED6D9"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16,205.75</w:t>
            </w:r>
          </w:p>
        </w:tc>
      </w:tr>
      <w:tr w:rsidR="009E1D45" w:rsidRPr="000E0BBF" w14:paraId="50CC7D31" w14:textId="77777777" w:rsidTr="001019DE">
        <w:trPr>
          <w:trHeight w:val="300"/>
          <w:jc w:val="center"/>
        </w:trPr>
        <w:tc>
          <w:tcPr>
            <w:tcW w:w="4480" w:type="dxa"/>
            <w:tcBorders>
              <w:left w:val="nil"/>
              <w:right w:val="nil"/>
            </w:tcBorders>
            <w:noWrap/>
            <w:vAlign w:val="bottom"/>
          </w:tcPr>
          <w:p w14:paraId="5CFE8B23"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left w:val="nil"/>
              <w:right w:val="nil"/>
            </w:tcBorders>
            <w:noWrap/>
            <w:vAlign w:val="bottom"/>
          </w:tcPr>
          <w:p w14:paraId="2C2CB5D4"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(2,723.80)</w:t>
            </w:r>
          </w:p>
        </w:tc>
        <w:tc>
          <w:tcPr>
            <w:tcW w:w="1620" w:type="dxa"/>
            <w:tcBorders>
              <w:left w:val="nil"/>
              <w:right w:val="nil"/>
            </w:tcBorders>
            <w:vAlign w:val="bottom"/>
          </w:tcPr>
          <w:p w14:paraId="4A484003"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(9,296.82)</w:t>
            </w:r>
          </w:p>
        </w:tc>
      </w:tr>
      <w:tr w:rsidR="009E1D45" w:rsidRPr="000E0BBF" w14:paraId="58D67383" w14:textId="77777777" w:rsidTr="001019DE">
        <w:trPr>
          <w:trHeight w:val="300"/>
          <w:jc w:val="center"/>
        </w:trPr>
        <w:tc>
          <w:tcPr>
            <w:tcW w:w="4480" w:type="dxa"/>
            <w:tcBorders>
              <w:left w:val="nil"/>
              <w:right w:val="nil"/>
            </w:tcBorders>
            <w:noWrap/>
            <w:vAlign w:val="bottom"/>
            <w:hideMark/>
          </w:tcPr>
          <w:p w14:paraId="4FEBB34A"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Total Revenue from ISD Per Pupil</w:t>
            </w:r>
          </w:p>
        </w:tc>
        <w:tc>
          <w:tcPr>
            <w:tcW w:w="1640" w:type="dxa"/>
            <w:tcBorders>
              <w:left w:val="nil"/>
              <w:right w:val="nil"/>
            </w:tcBorders>
            <w:noWrap/>
            <w:vAlign w:val="bottom"/>
            <w:hideMark/>
          </w:tcPr>
          <w:p w14:paraId="204A0CB4"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273.78</w:t>
            </w:r>
          </w:p>
        </w:tc>
        <w:tc>
          <w:tcPr>
            <w:tcW w:w="1620" w:type="dxa"/>
            <w:tcBorders>
              <w:left w:val="nil"/>
              <w:right w:val="nil"/>
            </w:tcBorders>
            <w:vAlign w:val="bottom"/>
          </w:tcPr>
          <w:p w14:paraId="53D621AB"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522.24</w:t>
            </w:r>
          </w:p>
        </w:tc>
      </w:tr>
      <w:tr w:rsidR="009E1D45" w:rsidRPr="000E0BBF" w14:paraId="2A21B490" w14:textId="77777777" w:rsidTr="001019DE">
        <w:trPr>
          <w:trHeight w:val="300"/>
          <w:jc w:val="center"/>
        </w:trPr>
        <w:tc>
          <w:tcPr>
            <w:tcW w:w="4480" w:type="dxa"/>
            <w:tcBorders>
              <w:top w:val="nil"/>
              <w:left w:val="nil"/>
              <w:bottom w:val="single" w:sz="4" w:space="0" w:color="auto"/>
              <w:right w:val="nil"/>
            </w:tcBorders>
            <w:noWrap/>
            <w:vAlign w:val="bottom"/>
            <w:hideMark/>
          </w:tcPr>
          <w:p w14:paraId="361A52FD"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single" w:sz="4" w:space="0" w:color="auto"/>
              <w:right w:val="nil"/>
            </w:tcBorders>
            <w:noWrap/>
            <w:vAlign w:val="bottom"/>
            <w:hideMark/>
          </w:tcPr>
          <w:p w14:paraId="2AEE8B0E"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(370.20)</w:t>
            </w:r>
          </w:p>
        </w:tc>
        <w:tc>
          <w:tcPr>
            <w:tcW w:w="1620" w:type="dxa"/>
            <w:tcBorders>
              <w:top w:val="nil"/>
              <w:left w:val="nil"/>
              <w:bottom w:val="single" w:sz="4" w:space="0" w:color="auto"/>
              <w:right w:val="nil"/>
            </w:tcBorders>
            <w:vAlign w:val="bottom"/>
          </w:tcPr>
          <w:p w14:paraId="1C595514"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(643.30)</w:t>
            </w:r>
          </w:p>
        </w:tc>
      </w:tr>
      <w:tr w:rsidR="009E1D45" w:rsidRPr="000E0BBF" w14:paraId="061FDA70" w14:textId="77777777" w:rsidTr="001019DE">
        <w:trPr>
          <w:trHeight w:val="300"/>
          <w:jc w:val="center"/>
        </w:trPr>
        <w:tc>
          <w:tcPr>
            <w:tcW w:w="4480" w:type="dxa"/>
            <w:tcBorders>
              <w:top w:val="single" w:sz="4" w:space="0" w:color="auto"/>
              <w:left w:val="nil"/>
              <w:bottom w:val="nil"/>
              <w:right w:val="nil"/>
            </w:tcBorders>
            <w:noWrap/>
            <w:vAlign w:val="bottom"/>
            <w:hideMark/>
          </w:tcPr>
          <w:p w14:paraId="6A18B90C"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Special Education Exp. Per Pupil</w:t>
            </w:r>
          </w:p>
        </w:tc>
        <w:tc>
          <w:tcPr>
            <w:tcW w:w="1640" w:type="dxa"/>
            <w:tcBorders>
              <w:top w:val="single" w:sz="4" w:space="0" w:color="auto"/>
              <w:left w:val="nil"/>
              <w:bottom w:val="nil"/>
              <w:right w:val="nil"/>
            </w:tcBorders>
            <w:noWrap/>
            <w:vAlign w:val="bottom"/>
            <w:hideMark/>
          </w:tcPr>
          <w:p w14:paraId="517FFF2A"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1,171.29</w:t>
            </w:r>
          </w:p>
        </w:tc>
        <w:tc>
          <w:tcPr>
            <w:tcW w:w="1620" w:type="dxa"/>
            <w:tcBorders>
              <w:top w:val="single" w:sz="4" w:space="0" w:color="auto"/>
              <w:left w:val="nil"/>
              <w:bottom w:val="nil"/>
              <w:right w:val="nil"/>
            </w:tcBorders>
            <w:vAlign w:val="bottom"/>
          </w:tcPr>
          <w:p w14:paraId="366CC720"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1,212.47</w:t>
            </w:r>
          </w:p>
        </w:tc>
      </w:tr>
      <w:tr w:rsidR="009E1D45" w:rsidRPr="000E0BBF" w14:paraId="4FD02A5D" w14:textId="77777777" w:rsidTr="001019DE">
        <w:trPr>
          <w:trHeight w:val="300"/>
          <w:jc w:val="center"/>
        </w:trPr>
        <w:tc>
          <w:tcPr>
            <w:tcW w:w="4480" w:type="dxa"/>
            <w:tcBorders>
              <w:top w:val="nil"/>
              <w:left w:val="nil"/>
              <w:bottom w:val="nil"/>
              <w:right w:val="nil"/>
            </w:tcBorders>
            <w:noWrap/>
            <w:vAlign w:val="bottom"/>
            <w:hideMark/>
          </w:tcPr>
          <w:p w14:paraId="0F0BBCED"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505B9974"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(521.98)</w:t>
            </w:r>
          </w:p>
        </w:tc>
        <w:tc>
          <w:tcPr>
            <w:tcW w:w="1620" w:type="dxa"/>
            <w:tcBorders>
              <w:top w:val="nil"/>
              <w:left w:val="nil"/>
              <w:bottom w:val="nil"/>
              <w:right w:val="nil"/>
            </w:tcBorders>
            <w:vAlign w:val="bottom"/>
          </w:tcPr>
          <w:p w14:paraId="651ACA4F"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(687.81)</w:t>
            </w:r>
          </w:p>
        </w:tc>
      </w:tr>
      <w:tr w:rsidR="009E1D45" w:rsidRPr="000E0BBF" w14:paraId="42B75E93" w14:textId="77777777" w:rsidTr="001019DE">
        <w:trPr>
          <w:trHeight w:val="300"/>
          <w:jc w:val="center"/>
        </w:trPr>
        <w:tc>
          <w:tcPr>
            <w:tcW w:w="4480" w:type="dxa"/>
            <w:tcBorders>
              <w:top w:val="single" w:sz="4" w:space="0" w:color="auto"/>
              <w:left w:val="nil"/>
              <w:bottom w:val="nil"/>
              <w:right w:val="nil"/>
            </w:tcBorders>
            <w:noWrap/>
            <w:vAlign w:val="bottom"/>
            <w:hideMark/>
          </w:tcPr>
          <w:p w14:paraId="7FF620AD"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Female</w:t>
            </w:r>
          </w:p>
        </w:tc>
        <w:tc>
          <w:tcPr>
            <w:tcW w:w="1640" w:type="dxa"/>
            <w:tcBorders>
              <w:top w:val="single" w:sz="4" w:space="0" w:color="auto"/>
              <w:left w:val="nil"/>
              <w:bottom w:val="nil"/>
              <w:right w:val="nil"/>
            </w:tcBorders>
            <w:noWrap/>
            <w:vAlign w:val="bottom"/>
            <w:hideMark/>
          </w:tcPr>
          <w:p w14:paraId="20508675"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0.48</w:t>
            </w:r>
          </w:p>
        </w:tc>
        <w:tc>
          <w:tcPr>
            <w:tcW w:w="1620" w:type="dxa"/>
            <w:tcBorders>
              <w:top w:val="single" w:sz="4" w:space="0" w:color="auto"/>
              <w:left w:val="nil"/>
              <w:bottom w:val="nil"/>
              <w:right w:val="nil"/>
            </w:tcBorders>
            <w:vAlign w:val="bottom"/>
          </w:tcPr>
          <w:p w14:paraId="4C4308DA"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0.48</w:t>
            </w:r>
          </w:p>
        </w:tc>
      </w:tr>
      <w:tr w:rsidR="009E1D45" w:rsidRPr="000E0BBF" w14:paraId="635093D4" w14:textId="77777777" w:rsidTr="001019DE">
        <w:trPr>
          <w:trHeight w:val="300"/>
          <w:jc w:val="center"/>
        </w:trPr>
        <w:tc>
          <w:tcPr>
            <w:tcW w:w="4480" w:type="dxa"/>
            <w:tcBorders>
              <w:top w:val="nil"/>
              <w:left w:val="nil"/>
              <w:bottom w:val="nil"/>
              <w:right w:val="nil"/>
            </w:tcBorders>
            <w:noWrap/>
            <w:vAlign w:val="bottom"/>
            <w:hideMark/>
          </w:tcPr>
          <w:p w14:paraId="0FB3FCE8"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06F9F90C"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(0.03)</w:t>
            </w:r>
          </w:p>
        </w:tc>
        <w:tc>
          <w:tcPr>
            <w:tcW w:w="1620" w:type="dxa"/>
            <w:tcBorders>
              <w:top w:val="nil"/>
              <w:left w:val="nil"/>
              <w:bottom w:val="nil"/>
              <w:right w:val="nil"/>
            </w:tcBorders>
            <w:vAlign w:val="bottom"/>
          </w:tcPr>
          <w:p w14:paraId="3ED3EDA4"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(0.05)</w:t>
            </w:r>
          </w:p>
        </w:tc>
      </w:tr>
      <w:tr w:rsidR="009E1D45" w:rsidRPr="000E0BBF" w14:paraId="487DB01A" w14:textId="77777777" w:rsidTr="001019DE">
        <w:trPr>
          <w:trHeight w:val="300"/>
          <w:jc w:val="center"/>
        </w:trPr>
        <w:tc>
          <w:tcPr>
            <w:tcW w:w="4480" w:type="dxa"/>
            <w:tcBorders>
              <w:top w:val="nil"/>
              <w:left w:val="nil"/>
              <w:bottom w:val="nil"/>
              <w:right w:val="nil"/>
            </w:tcBorders>
            <w:noWrap/>
            <w:vAlign w:val="bottom"/>
            <w:hideMark/>
          </w:tcPr>
          <w:p w14:paraId="25441165"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Black</w:t>
            </w:r>
          </w:p>
        </w:tc>
        <w:tc>
          <w:tcPr>
            <w:tcW w:w="1640" w:type="dxa"/>
            <w:tcBorders>
              <w:top w:val="nil"/>
              <w:left w:val="nil"/>
              <w:bottom w:val="nil"/>
              <w:right w:val="nil"/>
            </w:tcBorders>
            <w:noWrap/>
            <w:vAlign w:val="bottom"/>
            <w:hideMark/>
          </w:tcPr>
          <w:p w14:paraId="3F5C2051"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0.08</w:t>
            </w:r>
          </w:p>
        </w:tc>
        <w:tc>
          <w:tcPr>
            <w:tcW w:w="1620" w:type="dxa"/>
            <w:tcBorders>
              <w:top w:val="nil"/>
              <w:left w:val="nil"/>
              <w:bottom w:val="nil"/>
              <w:right w:val="nil"/>
            </w:tcBorders>
            <w:vAlign w:val="bottom"/>
          </w:tcPr>
          <w:p w14:paraId="4C5087FC"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0.07</w:t>
            </w:r>
          </w:p>
        </w:tc>
      </w:tr>
      <w:tr w:rsidR="009E1D45" w:rsidRPr="000E0BBF" w14:paraId="0E41439B" w14:textId="77777777" w:rsidTr="001019DE">
        <w:trPr>
          <w:trHeight w:val="300"/>
          <w:jc w:val="center"/>
        </w:trPr>
        <w:tc>
          <w:tcPr>
            <w:tcW w:w="4480" w:type="dxa"/>
            <w:tcBorders>
              <w:top w:val="nil"/>
              <w:left w:val="nil"/>
              <w:bottom w:val="nil"/>
              <w:right w:val="nil"/>
            </w:tcBorders>
            <w:noWrap/>
            <w:vAlign w:val="bottom"/>
            <w:hideMark/>
          </w:tcPr>
          <w:p w14:paraId="18D9C252"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75007457"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(0.19)</w:t>
            </w:r>
          </w:p>
        </w:tc>
        <w:tc>
          <w:tcPr>
            <w:tcW w:w="1620" w:type="dxa"/>
            <w:tcBorders>
              <w:top w:val="nil"/>
              <w:left w:val="nil"/>
              <w:bottom w:val="nil"/>
              <w:right w:val="nil"/>
            </w:tcBorders>
            <w:vAlign w:val="bottom"/>
          </w:tcPr>
          <w:p w14:paraId="2D7C226C"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(0.15)</w:t>
            </w:r>
          </w:p>
        </w:tc>
      </w:tr>
      <w:tr w:rsidR="009E1D45" w:rsidRPr="000E0BBF" w14:paraId="66945F1A" w14:textId="77777777" w:rsidTr="001019DE">
        <w:trPr>
          <w:trHeight w:val="300"/>
          <w:jc w:val="center"/>
        </w:trPr>
        <w:tc>
          <w:tcPr>
            <w:tcW w:w="4480" w:type="dxa"/>
            <w:tcBorders>
              <w:top w:val="nil"/>
              <w:left w:val="nil"/>
              <w:bottom w:val="nil"/>
              <w:right w:val="nil"/>
            </w:tcBorders>
            <w:noWrap/>
            <w:vAlign w:val="bottom"/>
            <w:hideMark/>
          </w:tcPr>
          <w:p w14:paraId="78CB57E3"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Hispanic/Latino</w:t>
            </w:r>
          </w:p>
        </w:tc>
        <w:tc>
          <w:tcPr>
            <w:tcW w:w="1640" w:type="dxa"/>
            <w:tcBorders>
              <w:top w:val="nil"/>
              <w:left w:val="nil"/>
              <w:bottom w:val="nil"/>
              <w:right w:val="nil"/>
            </w:tcBorders>
            <w:noWrap/>
            <w:vAlign w:val="bottom"/>
            <w:hideMark/>
          </w:tcPr>
          <w:p w14:paraId="2BF7A3B7"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0.05</w:t>
            </w:r>
          </w:p>
        </w:tc>
        <w:tc>
          <w:tcPr>
            <w:tcW w:w="1620" w:type="dxa"/>
            <w:tcBorders>
              <w:top w:val="nil"/>
              <w:left w:val="nil"/>
              <w:bottom w:val="nil"/>
              <w:right w:val="nil"/>
            </w:tcBorders>
            <w:vAlign w:val="bottom"/>
          </w:tcPr>
          <w:p w14:paraId="56506DE2"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0.07</w:t>
            </w:r>
          </w:p>
        </w:tc>
      </w:tr>
      <w:tr w:rsidR="009E1D45" w:rsidRPr="000E0BBF" w14:paraId="1F5A5B32" w14:textId="77777777" w:rsidTr="001019DE">
        <w:trPr>
          <w:trHeight w:val="300"/>
          <w:jc w:val="center"/>
        </w:trPr>
        <w:tc>
          <w:tcPr>
            <w:tcW w:w="4480" w:type="dxa"/>
            <w:tcBorders>
              <w:top w:val="nil"/>
              <w:left w:val="nil"/>
              <w:bottom w:val="nil"/>
              <w:right w:val="nil"/>
            </w:tcBorders>
            <w:noWrap/>
            <w:vAlign w:val="bottom"/>
            <w:hideMark/>
          </w:tcPr>
          <w:p w14:paraId="651146C7"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62D5346E"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(0.05)</w:t>
            </w:r>
          </w:p>
        </w:tc>
        <w:tc>
          <w:tcPr>
            <w:tcW w:w="1620" w:type="dxa"/>
            <w:tcBorders>
              <w:top w:val="nil"/>
              <w:left w:val="nil"/>
              <w:bottom w:val="nil"/>
              <w:right w:val="nil"/>
            </w:tcBorders>
            <w:vAlign w:val="bottom"/>
          </w:tcPr>
          <w:p w14:paraId="28494EA2"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(0.10)</w:t>
            </w:r>
          </w:p>
        </w:tc>
      </w:tr>
      <w:tr w:rsidR="009E1D45" w:rsidRPr="000E0BBF" w14:paraId="64FBABC7" w14:textId="77777777" w:rsidTr="001019DE">
        <w:trPr>
          <w:trHeight w:val="300"/>
          <w:jc w:val="center"/>
        </w:trPr>
        <w:tc>
          <w:tcPr>
            <w:tcW w:w="4480" w:type="dxa"/>
            <w:tcBorders>
              <w:top w:val="nil"/>
              <w:left w:val="nil"/>
              <w:bottom w:val="nil"/>
              <w:right w:val="nil"/>
            </w:tcBorders>
            <w:noWrap/>
            <w:vAlign w:val="bottom"/>
            <w:hideMark/>
          </w:tcPr>
          <w:p w14:paraId="6869456F"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Asian</w:t>
            </w:r>
          </w:p>
        </w:tc>
        <w:tc>
          <w:tcPr>
            <w:tcW w:w="1640" w:type="dxa"/>
            <w:tcBorders>
              <w:top w:val="nil"/>
              <w:left w:val="nil"/>
              <w:bottom w:val="nil"/>
              <w:right w:val="nil"/>
            </w:tcBorders>
            <w:noWrap/>
            <w:vAlign w:val="bottom"/>
            <w:hideMark/>
          </w:tcPr>
          <w:p w14:paraId="29999CFA"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0.01</w:t>
            </w:r>
          </w:p>
        </w:tc>
        <w:tc>
          <w:tcPr>
            <w:tcW w:w="1620" w:type="dxa"/>
            <w:tcBorders>
              <w:top w:val="nil"/>
              <w:left w:val="nil"/>
              <w:bottom w:val="nil"/>
              <w:right w:val="nil"/>
            </w:tcBorders>
            <w:vAlign w:val="bottom"/>
          </w:tcPr>
          <w:p w14:paraId="0527DAA5"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0.01</w:t>
            </w:r>
          </w:p>
        </w:tc>
      </w:tr>
      <w:tr w:rsidR="009E1D45" w:rsidRPr="000E0BBF" w14:paraId="3F705203" w14:textId="77777777" w:rsidTr="001019DE">
        <w:trPr>
          <w:trHeight w:val="300"/>
          <w:jc w:val="center"/>
        </w:trPr>
        <w:tc>
          <w:tcPr>
            <w:tcW w:w="4480" w:type="dxa"/>
            <w:tcBorders>
              <w:top w:val="nil"/>
              <w:left w:val="nil"/>
              <w:bottom w:val="nil"/>
              <w:right w:val="nil"/>
            </w:tcBorders>
            <w:noWrap/>
            <w:vAlign w:val="bottom"/>
            <w:hideMark/>
          </w:tcPr>
          <w:p w14:paraId="25F9E835"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7F4DF6D7"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(0.01)</w:t>
            </w:r>
          </w:p>
        </w:tc>
        <w:tc>
          <w:tcPr>
            <w:tcW w:w="1620" w:type="dxa"/>
            <w:tcBorders>
              <w:top w:val="nil"/>
              <w:left w:val="nil"/>
              <w:bottom w:val="nil"/>
              <w:right w:val="nil"/>
            </w:tcBorders>
            <w:vAlign w:val="bottom"/>
          </w:tcPr>
          <w:p w14:paraId="6D03A225"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(0.02)</w:t>
            </w:r>
          </w:p>
        </w:tc>
      </w:tr>
      <w:tr w:rsidR="009E1D45" w:rsidRPr="000E0BBF" w14:paraId="5DCC92EE" w14:textId="77777777" w:rsidTr="001019DE">
        <w:trPr>
          <w:trHeight w:val="300"/>
          <w:jc w:val="center"/>
        </w:trPr>
        <w:tc>
          <w:tcPr>
            <w:tcW w:w="4480" w:type="dxa"/>
            <w:tcBorders>
              <w:top w:val="nil"/>
              <w:left w:val="nil"/>
              <w:bottom w:val="nil"/>
              <w:right w:val="nil"/>
            </w:tcBorders>
            <w:noWrap/>
            <w:vAlign w:val="bottom"/>
            <w:hideMark/>
          </w:tcPr>
          <w:p w14:paraId="53071E92"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Other Race/Ethnicity</w:t>
            </w:r>
          </w:p>
        </w:tc>
        <w:tc>
          <w:tcPr>
            <w:tcW w:w="1640" w:type="dxa"/>
            <w:tcBorders>
              <w:top w:val="nil"/>
              <w:left w:val="nil"/>
              <w:bottom w:val="nil"/>
              <w:right w:val="nil"/>
            </w:tcBorders>
            <w:noWrap/>
            <w:vAlign w:val="bottom"/>
            <w:hideMark/>
          </w:tcPr>
          <w:p w14:paraId="532CACF1"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0.04</w:t>
            </w:r>
          </w:p>
        </w:tc>
        <w:tc>
          <w:tcPr>
            <w:tcW w:w="1620" w:type="dxa"/>
            <w:tcBorders>
              <w:top w:val="nil"/>
              <w:left w:val="nil"/>
              <w:bottom w:val="nil"/>
              <w:right w:val="nil"/>
            </w:tcBorders>
            <w:vAlign w:val="bottom"/>
          </w:tcPr>
          <w:p w14:paraId="73F37496"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0.06</w:t>
            </w:r>
          </w:p>
        </w:tc>
      </w:tr>
      <w:tr w:rsidR="009E1D45" w:rsidRPr="000E0BBF" w14:paraId="56D76716" w14:textId="77777777" w:rsidTr="001019DE">
        <w:trPr>
          <w:trHeight w:val="300"/>
          <w:jc w:val="center"/>
        </w:trPr>
        <w:tc>
          <w:tcPr>
            <w:tcW w:w="4480" w:type="dxa"/>
            <w:tcBorders>
              <w:top w:val="nil"/>
              <w:left w:val="nil"/>
              <w:bottom w:val="nil"/>
              <w:right w:val="nil"/>
            </w:tcBorders>
            <w:noWrap/>
            <w:vAlign w:val="bottom"/>
            <w:hideMark/>
          </w:tcPr>
          <w:p w14:paraId="0C2D98A5"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4C459FCC"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(0.06)</w:t>
            </w:r>
          </w:p>
        </w:tc>
        <w:tc>
          <w:tcPr>
            <w:tcW w:w="1620" w:type="dxa"/>
            <w:tcBorders>
              <w:top w:val="nil"/>
              <w:left w:val="nil"/>
              <w:bottom w:val="nil"/>
              <w:right w:val="nil"/>
            </w:tcBorders>
            <w:vAlign w:val="bottom"/>
          </w:tcPr>
          <w:p w14:paraId="2610353F"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(0.10)</w:t>
            </w:r>
          </w:p>
        </w:tc>
      </w:tr>
      <w:tr w:rsidR="009E1D45" w:rsidRPr="000E0BBF" w14:paraId="5A89D41C" w14:textId="77777777" w:rsidTr="001019DE">
        <w:trPr>
          <w:trHeight w:val="300"/>
          <w:jc w:val="center"/>
        </w:trPr>
        <w:tc>
          <w:tcPr>
            <w:tcW w:w="4480" w:type="dxa"/>
            <w:tcBorders>
              <w:top w:val="nil"/>
              <w:left w:val="nil"/>
              <w:bottom w:val="nil"/>
              <w:right w:val="nil"/>
            </w:tcBorders>
            <w:noWrap/>
            <w:vAlign w:val="bottom"/>
            <w:hideMark/>
          </w:tcPr>
          <w:p w14:paraId="209A8F7C"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Economically Disadvantaged</w:t>
            </w:r>
          </w:p>
        </w:tc>
        <w:tc>
          <w:tcPr>
            <w:tcW w:w="1640" w:type="dxa"/>
            <w:tcBorders>
              <w:top w:val="nil"/>
              <w:left w:val="nil"/>
              <w:bottom w:val="nil"/>
              <w:right w:val="nil"/>
            </w:tcBorders>
            <w:noWrap/>
            <w:vAlign w:val="bottom"/>
            <w:hideMark/>
          </w:tcPr>
          <w:p w14:paraId="647F4F60"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0.52</w:t>
            </w:r>
          </w:p>
        </w:tc>
        <w:tc>
          <w:tcPr>
            <w:tcW w:w="1620" w:type="dxa"/>
            <w:tcBorders>
              <w:top w:val="nil"/>
              <w:left w:val="nil"/>
              <w:bottom w:val="nil"/>
              <w:right w:val="nil"/>
            </w:tcBorders>
            <w:vAlign w:val="bottom"/>
          </w:tcPr>
          <w:p w14:paraId="03151316"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0.49</w:t>
            </w:r>
          </w:p>
        </w:tc>
      </w:tr>
      <w:tr w:rsidR="009E1D45" w:rsidRPr="000E0BBF" w14:paraId="38297DA5" w14:textId="77777777" w:rsidTr="001019DE">
        <w:trPr>
          <w:trHeight w:val="300"/>
          <w:jc w:val="center"/>
        </w:trPr>
        <w:tc>
          <w:tcPr>
            <w:tcW w:w="4480" w:type="dxa"/>
            <w:tcBorders>
              <w:top w:val="nil"/>
              <w:left w:val="nil"/>
              <w:bottom w:val="nil"/>
              <w:right w:val="nil"/>
            </w:tcBorders>
            <w:noWrap/>
            <w:vAlign w:val="bottom"/>
            <w:hideMark/>
          </w:tcPr>
          <w:p w14:paraId="749B1AF3"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7D65D8E1"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(0.19)</w:t>
            </w:r>
          </w:p>
        </w:tc>
        <w:tc>
          <w:tcPr>
            <w:tcW w:w="1620" w:type="dxa"/>
            <w:tcBorders>
              <w:top w:val="nil"/>
              <w:left w:val="nil"/>
              <w:bottom w:val="nil"/>
              <w:right w:val="nil"/>
            </w:tcBorders>
            <w:vAlign w:val="bottom"/>
          </w:tcPr>
          <w:p w14:paraId="473E32A3"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(0.21)</w:t>
            </w:r>
          </w:p>
        </w:tc>
      </w:tr>
      <w:tr w:rsidR="009E1D45" w:rsidRPr="000E0BBF" w14:paraId="78F3931E" w14:textId="77777777" w:rsidTr="001019DE">
        <w:trPr>
          <w:trHeight w:val="300"/>
          <w:jc w:val="center"/>
        </w:trPr>
        <w:tc>
          <w:tcPr>
            <w:tcW w:w="4480" w:type="dxa"/>
            <w:tcBorders>
              <w:top w:val="nil"/>
              <w:left w:val="nil"/>
              <w:bottom w:val="nil"/>
              <w:right w:val="nil"/>
            </w:tcBorders>
            <w:noWrap/>
            <w:vAlign w:val="bottom"/>
            <w:hideMark/>
          </w:tcPr>
          <w:p w14:paraId="2AC5E208"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English Learner</w:t>
            </w:r>
          </w:p>
        </w:tc>
        <w:tc>
          <w:tcPr>
            <w:tcW w:w="1640" w:type="dxa"/>
            <w:tcBorders>
              <w:top w:val="nil"/>
              <w:left w:val="nil"/>
              <w:bottom w:val="nil"/>
              <w:right w:val="nil"/>
            </w:tcBorders>
            <w:noWrap/>
            <w:vAlign w:val="bottom"/>
            <w:hideMark/>
          </w:tcPr>
          <w:p w14:paraId="047D2480"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0.01</w:t>
            </w:r>
          </w:p>
        </w:tc>
        <w:tc>
          <w:tcPr>
            <w:tcW w:w="1620" w:type="dxa"/>
            <w:tcBorders>
              <w:top w:val="nil"/>
              <w:left w:val="nil"/>
              <w:bottom w:val="nil"/>
              <w:right w:val="nil"/>
            </w:tcBorders>
            <w:vAlign w:val="bottom"/>
          </w:tcPr>
          <w:p w14:paraId="4FEE02F0"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0.02</w:t>
            </w:r>
          </w:p>
        </w:tc>
      </w:tr>
      <w:tr w:rsidR="009E1D45" w:rsidRPr="000E0BBF" w14:paraId="34537C44" w14:textId="77777777" w:rsidTr="001019DE">
        <w:trPr>
          <w:trHeight w:val="300"/>
          <w:jc w:val="center"/>
        </w:trPr>
        <w:tc>
          <w:tcPr>
            <w:tcW w:w="4480" w:type="dxa"/>
            <w:tcBorders>
              <w:top w:val="nil"/>
              <w:left w:val="nil"/>
              <w:bottom w:val="nil"/>
              <w:right w:val="nil"/>
            </w:tcBorders>
            <w:noWrap/>
            <w:vAlign w:val="bottom"/>
            <w:hideMark/>
          </w:tcPr>
          <w:p w14:paraId="335FCF40"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nil"/>
              <w:right w:val="nil"/>
            </w:tcBorders>
            <w:noWrap/>
            <w:vAlign w:val="bottom"/>
            <w:hideMark/>
          </w:tcPr>
          <w:p w14:paraId="7D9E8C8F"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(0.02)</w:t>
            </w:r>
          </w:p>
        </w:tc>
        <w:tc>
          <w:tcPr>
            <w:tcW w:w="1620" w:type="dxa"/>
            <w:tcBorders>
              <w:top w:val="nil"/>
              <w:left w:val="nil"/>
              <w:bottom w:val="nil"/>
              <w:right w:val="nil"/>
            </w:tcBorders>
            <w:vAlign w:val="bottom"/>
          </w:tcPr>
          <w:p w14:paraId="468340A3"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(0.06)</w:t>
            </w:r>
          </w:p>
        </w:tc>
      </w:tr>
      <w:tr w:rsidR="009E1D45" w:rsidRPr="000E0BBF" w14:paraId="722324FE" w14:textId="77777777" w:rsidTr="001019DE">
        <w:trPr>
          <w:trHeight w:val="300"/>
          <w:jc w:val="center"/>
        </w:trPr>
        <w:tc>
          <w:tcPr>
            <w:tcW w:w="4480" w:type="dxa"/>
            <w:tcBorders>
              <w:top w:val="nil"/>
              <w:left w:val="nil"/>
              <w:bottom w:val="nil"/>
              <w:right w:val="nil"/>
            </w:tcBorders>
            <w:noWrap/>
            <w:vAlign w:val="bottom"/>
            <w:hideMark/>
          </w:tcPr>
          <w:p w14:paraId="01D30863"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Special Education</w:t>
            </w:r>
          </w:p>
        </w:tc>
        <w:tc>
          <w:tcPr>
            <w:tcW w:w="1640" w:type="dxa"/>
            <w:tcBorders>
              <w:top w:val="nil"/>
              <w:left w:val="nil"/>
              <w:bottom w:val="nil"/>
              <w:right w:val="nil"/>
            </w:tcBorders>
            <w:noWrap/>
            <w:vAlign w:val="bottom"/>
            <w:hideMark/>
          </w:tcPr>
          <w:p w14:paraId="17F55C9D"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0.15</w:t>
            </w:r>
          </w:p>
        </w:tc>
        <w:tc>
          <w:tcPr>
            <w:tcW w:w="1620" w:type="dxa"/>
            <w:tcBorders>
              <w:top w:val="nil"/>
              <w:left w:val="nil"/>
              <w:bottom w:val="nil"/>
              <w:right w:val="nil"/>
            </w:tcBorders>
            <w:vAlign w:val="bottom"/>
          </w:tcPr>
          <w:p w14:paraId="3AEEB1AE"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0.15</w:t>
            </w:r>
          </w:p>
        </w:tc>
      </w:tr>
      <w:tr w:rsidR="009E1D45" w:rsidRPr="000E0BBF" w14:paraId="234BF184" w14:textId="77777777" w:rsidTr="001019DE">
        <w:trPr>
          <w:trHeight w:val="300"/>
          <w:jc w:val="center"/>
        </w:trPr>
        <w:tc>
          <w:tcPr>
            <w:tcW w:w="4480" w:type="dxa"/>
            <w:tcBorders>
              <w:top w:val="nil"/>
              <w:left w:val="nil"/>
              <w:bottom w:val="single" w:sz="4" w:space="0" w:color="auto"/>
              <w:right w:val="nil"/>
            </w:tcBorders>
            <w:noWrap/>
            <w:vAlign w:val="bottom"/>
            <w:hideMark/>
          </w:tcPr>
          <w:p w14:paraId="494F1ABC"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p>
        </w:tc>
        <w:tc>
          <w:tcPr>
            <w:tcW w:w="1640" w:type="dxa"/>
            <w:tcBorders>
              <w:top w:val="nil"/>
              <w:left w:val="nil"/>
              <w:bottom w:val="single" w:sz="4" w:space="0" w:color="auto"/>
              <w:right w:val="nil"/>
            </w:tcBorders>
            <w:noWrap/>
            <w:vAlign w:val="bottom"/>
            <w:hideMark/>
          </w:tcPr>
          <w:p w14:paraId="7AC17EE0"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(0.04)</w:t>
            </w:r>
          </w:p>
        </w:tc>
        <w:tc>
          <w:tcPr>
            <w:tcW w:w="1620" w:type="dxa"/>
            <w:tcBorders>
              <w:top w:val="nil"/>
              <w:left w:val="nil"/>
              <w:bottom w:val="single" w:sz="4" w:space="0" w:color="auto"/>
              <w:right w:val="nil"/>
            </w:tcBorders>
            <w:vAlign w:val="bottom"/>
          </w:tcPr>
          <w:p w14:paraId="6C2D5CBF"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(0.06)</w:t>
            </w:r>
          </w:p>
        </w:tc>
      </w:tr>
      <w:tr w:rsidR="009E1D45" w:rsidRPr="000E0BBF" w14:paraId="711B11C4" w14:textId="77777777" w:rsidTr="001019DE">
        <w:trPr>
          <w:trHeight w:val="300"/>
          <w:jc w:val="center"/>
        </w:trPr>
        <w:tc>
          <w:tcPr>
            <w:tcW w:w="4480" w:type="dxa"/>
            <w:tcBorders>
              <w:top w:val="single" w:sz="4" w:space="0" w:color="auto"/>
              <w:left w:val="nil"/>
              <w:bottom w:val="nil"/>
              <w:right w:val="nil"/>
            </w:tcBorders>
            <w:noWrap/>
            <w:vAlign w:val="bottom"/>
            <w:hideMark/>
          </w:tcPr>
          <w:p w14:paraId="337D1E9C"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Total Students with Disabilities</w:t>
            </w:r>
          </w:p>
        </w:tc>
        <w:tc>
          <w:tcPr>
            <w:tcW w:w="1640" w:type="dxa"/>
            <w:tcBorders>
              <w:top w:val="single" w:sz="4" w:space="0" w:color="auto"/>
              <w:left w:val="nil"/>
              <w:bottom w:val="nil"/>
              <w:right w:val="nil"/>
            </w:tcBorders>
            <w:noWrap/>
            <w:vAlign w:val="bottom"/>
            <w:hideMark/>
          </w:tcPr>
          <w:p w14:paraId="620C0F5A"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811,529</w:t>
            </w:r>
          </w:p>
        </w:tc>
        <w:tc>
          <w:tcPr>
            <w:tcW w:w="1620" w:type="dxa"/>
            <w:tcBorders>
              <w:top w:val="single" w:sz="4" w:space="0" w:color="auto"/>
              <w:left w:val="nil"/>
              <w:bottom w:val="nil"/>
              <w:right w:val="nil"/>
            </w:tcBorders>
            <w:vAlign w:val="bottom"/>
          </w:tcPr>
          <w:p w14:paraId="03B5D0E2"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1,401,112</w:t>
            </w:r>
          </w:p>
        </w:tc>
      </w:tr>
      <w:tr w:rsidR="009E1D45" w:rsidRPr="000E0BBF" w14:paraId="36322B8F" w14:textId="77777777" w:rsidTr="001019DE">
        <w:trPr>
          <w:trHeight w:val="300"/>
          <w:jc w:val="center"/>
        </w:trPr>
        <w:tc>
          <w:tcPr>
            <w:tcW w:w="4480" w:type="dxa"/>
            <w:tcBorders>
              <w:top w:val="nil"/>
              <w:left w:val="nil"/>
              <w:right w:val="nil"/>
            </w:tcBorders>
            <w:noWrap/>
            <w:vAlign w:val="bottom"/>
            <w:hideMark/>
          </w:tcPr>
          <w:p w14:paraId="368577BA"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Total Students</w:t>
            </w:r>
          </w:p>
        </w:tc>
        <w:tc>
          <w:tcPr>
            <w:tcW w:w="1640" w:type="dxa"/>
            <w:tcBorders>
              <w:top w:val="nil"/>
              <w:left w:val="nil"/>
              <w:right w:val="nil"/>
            </w:tcBorders>
            <w:noWrap/>
            <w:vAlign w:val="bottom"/>
            <w:hideMark/>
          </w:tcPr>
          <w:p w14:paraId="394EE739"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5,406,174</w:t>
            </w:r>
          </w:p>
        </w:tc>
        <w:tc>
          <w:tcPr>
            <w:tcW w:w="1620" w:type="dxa"/>
            <w:tcBorders>
              <w:top w:val="nil"/>
              <w:left w:val="nil"/>
              <w:right w:val="nil"/>
            </w:tcBorders>
            <w:vAlign w:val="bottom"/>
          </w:tcPr>
          <w:p w14:paraId="23094894"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9,336,117</w:t>
            </w:r>
          </w:p>
        </w:tc>
      </w:tr>
      <w:tr w:rsidR="009E1D45" w:rsidRPr="000E0BBF" w14:paraId="73671B50" w14:textId="77777777" w:rsidTr="001019DE">
        <w:trPr>
          <w:trHeight w:val="300"/>
          <w:jc w:val="center"/>
        </w:trPr>
        <w:tc>
          <w:tcPr>
            <w:tcW w:w="4480" w:type="dxa"/>
            <w:tcBorders>
              <w:top w:val="nil"/>
              <w:left w:val="nil"/>
              <w:bottom w:val="single" w:sz="4" w:space="0" w:color="auto"/>
              <w:right w:val="nil"/>
            </w:tcBorders>
            <w:noWrap/>
            <w:vAlign w:val="bottom"/>
            <w:hideMark/>
          </w:tcPr>
          <w:p w14:paraId="3DBDE5F7" w14:textId="77777777" w:rsidR="009E1D45" w:rsidRPr="000E0BBF" w:rsidRDefault="009E1D45" w:rsidP="001019DE">
            <w:pPr>
              <w:spacing w:after="0" w:line="240" w:lineRule="auto"/>
              <w:rPr>
                <w:rFonts w:ascii="Times New Roman" w:eastAsia="Times New Roman" w:hAnsi="Times New Roman" w:cs="Times New Roman"/>
                <w:kern w:val="0"/>
                <w14:ligatures w14:val="none"/>
              </w:rPr>
            </w:pPr>
            <w:r w:rsidRPr="000E0BBF">
              <w:rPr>
                <w:rFonts w:ascii="Times New Roman" w:hAnsi="Times New Roman" w:cs="Times New Roman"/>
              </w:rPr>
              <w:t>Total Districts</w:t>
            </w:r>
          </w:p>
        </w:tc>
        <w:tc>
          <w:tcPr>
            <w:tcW w:w="1640" w:type="dxa"/>
            <w:tcBorders>
              <w:top w:val="nil"/>
              <w:left w:val="nil"/>
              <w:bottom w:val="single" w:sz="4" w:space="0" w:color="auto"/>
              <w:right w:val="nil"/>
            </w:tcBorders>
            <w:noWrap/>
            <w:vAlign w:val="bottom"/>
            <w:hideMark/>
          </w:tcPr>
          <w:p w14:paraId="392C067A"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129</w:t>
            </w:r>
          </w:p>
        </w:tc>
        <w:tc>
          <w:tcPr>
            <w:tcW w:w="1620" w:type="dxa"/>
            <w:tcBorders>
              <w:top w:val="nil"/>
              <w:left w:val="nil"/>
              <w:bottom w:val="single" w:sz="4" w:space="0" w:color="auto"/>
              <w:right w:val="nil"/>
            </w:tcBorders>
            <w:vAlign w:val="bottom"/>
          </w:tcPr>
          <w:p w14:paraId="690156AD" w14:textId="77777777" w:rsidR="009E1D45" w:rsidRPr="00A16FF8" w:rsidRDefault="009E1D45" w:rsidP="001019DE">
            <w:pPr>
              <w:spacing w:after="0" w:line="240" w:lineRule="auto"/>
              <w:jc w:val="center"/>
              <w:rPr>
                <w:rFonts w:ascii="Times New Roman" w:eastAsia="Times New Roman" w:hAnsi="Times New Roman" w:cs="Times New Roman"/>
                <w:kern w:val="0"/>
                <w14:ligatures w14:val="none"/>
              </w:rPr>
            </w:pPr>
            <w:r w:rsidRPr="00A16FF8">
              <w:rPr>
                <w:rFonts w:ascii="Times New Roman" w:hAnsi="Times New Roman" w:cs="Times New Roman"/>
              </w:rPr>
              <w:t>267</w:t>
            </w:r>
          </w:p>
        </w:tc>
      </w:tr>
    </w:tbl>
    <w:p w14:paraId="558FBE8D" w14:textId="77777777" w:rsidR="009E1D45" w:rsidRPr="000E0BBF" w:rsidRDefault="009E1D45" w:rsidP="009E1D45">
      <w:pPr>
        <w:rPr>
          <w:rFonts w:ascii="Times New Roman" w:hAnsi="Times New Roman" w:cs="Times New Roman"/>
          <w:b/>
          <w:bCs/>
          <w:sz w:val="22"/>
          <w:szCs w:val="22"/>
        </w:rPr>
      </w:pPr>
      <w:r w:rsidRPr="000E0BBF">
        <w:rPr>
          <w:rFonts w:ascii="Times New Roman" w:hAnsi="Times New Roman" w:cs="Times New Roman"/>
          <w:i/>
          <w:iCs/>
          <w:sz w:val="20"/>
          <w:szCs w:val="20"/>
        </w:rPr>
        <w:t>Notes: District-level analytic sample summary statistics, 2003-04 through 2024-25 academic years. Financial data collected from the Michigan Financial Information Database. Student characteristics collected from student-level data. In the case that an ISD adopts a second property tax for special education during the sample period, data for years following the second adoption are removed from the sample. All dollar values adjusted to 2025 dollars using the GDP S&amp;L price deflator.</w:t>
      </w:r>
    </w:p>
    <w:p w14:paraId="068E160C" w14:textId="77777777" w:rsidR="009E1D45" w:rsidRPr="000E0BBF" w:rsidRDefault="009E1D45" w:rsidP="009E1D45">
      <w:pPr>
        <w:rPr>
          <w:rFonts w:ascii="Times New Roman" w:hAnsi="Times New Roman" w:cs="Times New Roman"/>
          <w:b/>
          <w:bCs/>
        </w:rPr>
      </w:pPr>
    </w:p>
    <w:p w14:paraId="13F07047" w14:textId="77777777" w:rsidR="009E1D45" w:rsidRPr="000E0BBF" w:rsidRDefault="009E1D45" w:rsidP="009E1D45">
      <w:pPr>
        <w:rPr>
          <w:rFonts w:ascii="Times New Roman" w:hAnsi="Times New Roman" w:cs="Times New Roman"/>
          <w:b/>
          <w:bCs/>
        </w:rPr>
        <w:sectPr w:rsidR="009E1D45" w:rsidRPr="000E0BBF" w:rsidSect="009E1D45">
          <w:pgSz w:w="12240" w:h="15840"/>
          <w:pgMar w:top="1440" w:right="1440" w:bottom="1440" w:left="1440" w:header="720" w:footer="720" w:gutter="0"/>
          <w:cols w:space="720"/>
          <w:docGrid w:linePitch="360"/>
        </w:sectPr>
      </w:pPr>
    </w:p>
    <w:p w14:paraId="0A1003D3"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Table A2: Robustness of Average Causal Response of ISD-Level Local Per-Pupil Special Education Revenues following Earmarked Property Tax Increases, Ever-Treated Sample</w:t>
      </w:r>
    </w:p>
    <w:tbl>
      <w:tblPr>
        <w:tblStyle w:val="TableGrid"/>
        <w:tblW w:w="13961"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4"/>
        <w:gridCol w:w="1464"/>
        <w:gridCol w:w="1464"/>
        <w:gridCol w:w="1520"/>
        <w:gridCol w:w="1473"/>
        <w:gridCol w:w="1464"/>
        <w:gridCol w:w="1464"/>
        <w:gridCol w:w="1464"/>
        <w:gridCol w:w="1464"/>
      </w:tblGrid>
      <w:tr w:rsidR="009E1D45" w:rsidRPr="000E0BBF" w14:paraId="4CDAC6DB" w14:textId="77777777" w:rsidTr="001019DE">
        <w:trPr>
          <w:trHeight w:val="239"/>
        </w:trPr>
        <w:tc>
          <w:tcPr>
            <w:tcW w:w="2184" w:type="dxa"/>
            <w:tcBorders>
              <w:top w:val="single" w:sz="4" w:space="0" w:color="auto"/>
            </w:tcBorders>
          </w:tcPr>
          <w:p w14:paraId="236F79B0" w14:textId="77777777" w:rsidR="009E1D45" w:rsidRPr="000E0BBF" w:rsidRDefault="009E1D45" w:rsidP="001019DE">
            <w:pPr>
              <w:jc w:val="center"/>
              <w:rPr>
                <w:rFonts w:ascii="Times New Roman" w:hAnsi="Times New Roman" w:cs="Times New Roman"/>
              </w:rPr>
            </w:pPr>
          </w:p>
        </w:tc>
        <w:tc>
          <w:tcPr>
            <w:tcW w:w="1464" w:type="dxa"/>
            <w:tcBorders>
              <w:top w:val="single" w:sz="4" w:space="0" w:color="auto"/>
            </w:tcBorders>
          </w:tcPr>
          <w:p w14:paraId="069C2C15"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(1)</w:t>
            </w:r>
          </w:p>
        </w:tc>
        <w:tc>
          <w:tcPr>
            <w:tcW w:w="1464" w:type="dxa"/>
            <w:tcBorders>
              <w:top w:val="single" w:sz="4" w:space="0" w:color="auto"/>
            </w:tcBorders>
          </w:tcPr>
          <w:p w14:paraId="3053DE9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(2)</w:t>
            </w:r>
          </w:p>
        </w:tc>
        <w:tc>
          <w:tcPr>
            <w:tcW w:w="1520" w:type="dxa"/>
            <w:tcBorders>
              <w:top w:val="single" w:sz="4" w:space="0" w:color="auto"/>
            </w:tcBorders>
          </w:tcPr>
          <w:p w14:paraId="1C904E0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(3)</w:t>
            </w:r>
          </w:p>
        </w:tc>
        <w:tc>
          <w:tcPr>
            <w:tcW w:w="1473" w:type="dxa"/>
            <w:tcBorders>
              <w:top w:val="single" w:sz="4" w:space="0" w:color="auto"/>
            </w:tcBorders>
          </w:tcPr>
          <w:p w14:paraId="670F562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(4)</w:t>
            </w:r>
          </w:p>
        </w:tc>
        <w:tc>
          <w:tcPr>
            <w:tcW w:w="1464" w:type="dxa"/>
            <w:tcBorders>
              <w:top w:val="single" w:sz="4" w:space="0" w:color="auto"/>
            </w:tcBorders>
          </w:tcPr>
          <w:p w14:paraId="526A46E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(5)</w:t>
            </w:r>
          </w:p>
        </w:tc>
        <w:tc>
          <w:tcPr>
            <w:tcW w:w="1464" w:type="dxa"/>
            <w:tcBorders>
              <w:top w:val="single" w:sz="4" w:space="0" w:color="auto"/>
            </w:tcBorders>
          </w:tcPr>
          <w:p w14:paraId="522DFE9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(6)</w:t>
            </w:r>
          </w:p>
        </w:tc>
        <w:tc>
          <w:tcPr>
            <w:tcW w:w="1464" w:type="dxa"/>
            <w:tcBorders>
              <w:top w:val="single" w:sz="4" w:space="0" w:color="auto"/>
            </w:tcBorders>
          </w:tcPr>
          <w:p w14:paraId="498D441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(7)</w:t>
            </w:r>
          </w:p>
        </w:tc>
        <w:tc>
          <w:tcPr>
            <w:tcW w:w="1464" w:type="dxa"/>
            <w:tcBorders>
              <w:top w:val="single" w:sz="4" w:space="0" w:color="auto"/>
            </w:tcBorders>
          </w:tcPr>
          <w:p w14:paraId="4B7B1B7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(8)</w:t>
            </w:r>
          </w:p>
        </w:tc>
      </w:tr>
      <w:tr w:rsidR="009E1D45" w:rsidRPr="000E0BBF" w14:paraId="7D61A17B" w14:textId="77777777" w:rsidTr="001019DE">
        <w:trPr>
          <w:trHeight w:val="1189"/>
        </w:trPr>
        <w:tc>
          <w:tcPr>
            <w:tcW w:w="2184" w:type="dxa"/>
          </w:tcPr>
          <w:p w14:paraId="000B92BC" w14:textId="77777777" w:rsidR="009E1D45" w:rsidRPr="000E0BBF" w:rsidRDefault="009E1D45" w:rsidP="001019DE">
            <w:pPr>
              <w:jc w:val="center"/>
              <w:rPr>
                <w:rFonts w:ascii="Times New Roman" w:hAnsi="Times New Roman" w:cs="Times New Roman"/>
              </w:rPr>
            </w:pPr>
          </w:p>
        </w:tc>
        <w:tc>
          <w:tcPr>
            <w:tcW w:w="1464" w:type="dxa"/>
            <w:tcBorders>
              <w:bottom w:val="single" w:sz="4" w:space="0" w:color="auto"/>
            </w:tcBorders>
          </w:tcPr>
          <w:p w14:paraId="5708DB3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Base Model</w:t>
            </w:r>
          </w:p>
        </w:tc>
        <w:tc>
          <w:tcPr>
            <w:tcW w:w="1464" w:type="dxa"/>
            <w:tcBorders>
              <w:bottom w:val="single" w:sz="4" w:space="0" w:color="auto"/>
            </w:tcBorders>
          </w:tcPr>
          <w:p w14:paraId="09CF7BB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Lag of Per Pupil Spending</w:t>
            </w:r>
          </w:p>
        </w:tc>
        <w:tc>
          <w:tcPr>
            <w:tcW w:w="1520" w:type="dxa"/>
            <w:tcBorders>
              <w:bottom w:val="single" w:sz="4" w:space="0" w:color="auto"/>
            </w:tcBorders>
          </w:tcPr>
          <w:p w14:paraId="77C9162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Poisson Regression</w:t>
            </w:r>
          </w:p>
        </w:tc>
        <w:tc>
          <w:tcPr>
            <w:tcW w:w="1473" w:type="dxa"/>
            <w:tcBorders>
              <w:bottom w:val="single" w:sz="4" w:space="0" w:color="auto"/>
            </w:tcBorders>
          </w:tcPr>
          <w:p w14:paraId="7864DD9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Interact with Demeaned Covariates</w:t>
            </w:r>
          </w:p>
        </w:tc>
        <w:tc>
          <w:tcPr>
            <w:tcW w:w="1464" w:type="dxa"/>
            <w:tcBorders>
              <w:bottom w:val="single" w:sz="4" w:space="0" w:color="auto"/>
            </w:tcBorders>
          </w:tcPr>
          <w:p w14:paraId="5095E5D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Binary Treatment</w:t>
            </w:r>
          </w:p>
        </w:tc>
        <w:tc>
          <w:tcPr>
            <w:tcW w:w="1464" w:type="dxa"/>
            <w:tcBorders>
              <w:bottom w:val="single" w:sz="4" w:space="0" w:color="auto"/>
            </w:tcBorders>
          </w:tcPr>
          <w:p w14:paraId="21A01A7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TWFE</w:t>
            </w:r>
          </w:p>
        </w:tc>
        <w:tc>
          <w:tcPr>
            <w:tcW w:w="1464" w:type="dxa"/>
            <w:tcBorders>
              <w:bottom w:val="single" w:sz="4" w:space="0" w:color="auto"/>
            </w:tcBorders>
          </w:tcPr>
          <w:p w14:paraId="16231BA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Balanced Panel</w:t>
            </w:r>
          </w:p>
        </w:tc>
        <w:tc>
          <w:tcPr>
            <w:tcW w:w="1464" w:type="dxa"/>
            <w:tcBorders>
              <w:bottom w:val="single" w:sz="4" w:space="0" w:color="auto"/>
            </w:tcBorders>
          </w:tcPr>
          <w:p w14:paraId="5BE8646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CH WAS Estimator</w:t>
            </w:r>
          </w:p>
        </w:tc>
      </w:tr>
      <w:tr w:rsidR="009E1D45" w:rsidRPr="000E0BBF" w14:paraId="7568A152" w14:textId="77777777" w:rsidTr="001019DE">
        <w:trPr>
          <w:trHeight w:val="279"/>
        </w:trPr>
        <w:tc>
          <w:tcPr>
            <w:tcW w:w="2184" w:type="dxa"/>
          </w:tcPr>
          <w:p w14:paraId="257CDD8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Dosage</w:t>
            </w:r>
          </w:p>
        </w:tc>
        <w:tc>
          <w:tcPr>
            <w:tcW w:w="1464" w:type="dxa"/>
            <w:tcBorders>
              <w:top w:val="single" w:sz="4" w:space="0" w:color="auto"/>
            </w:tcBorders>
          </w:tcPr>
          <w:p w14:paraId="424A4E0B"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341.701</w:t>
            </w:r>
            <w:r w:rsidRPr="000E0BBF">
              <w:rPr>
                <w:rFonts w:ascii="Times New Roman" w:hAnsi="Times New Roman" w:cs="Times New Roman"/>
                <w:kern w:val="0"/>
                <w:vertAlign w:val="superscript"/>
              </w:rPr>
              <w:t>***</w:t>
            </w:r>
          </w:p>
        </w:tc>
        <w:tc>
          <w:tcPr>
            <w:tcW w:w="1464" w:type="dxa"/>
            <w:tcBorders>
              <w:top w:val="single" w:sz="4" w:space="0" w:color="auto"/>
            </w:tcBorders>
          </w:tcPr>
          <w:p w14:paraId="37A0CDF8"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233.761</w:t>
            </w:r>
            <w:r w:rsidRPr="000E0BBF">
              <w:rPr>
                <w:rFonts w:ascii="Times New Roman" w:hAnsi="Times New Roman" w:cs="Times New Roman"/>
                <w:kern w:val="0"/>
                <w:vertAlign w:val="superscript"/>
              </w:rPr>
              <w:t>***</w:t>
            </w:r>
          </w:p>
        </w:tc>
        <w:tc>
          <w:tcPr>
            <w:tcW w:w="1520" w:type="dxa"/>
            <w:tcBorders>
              <w:top w:val="single" w:sz="4" w:space="0" w:color="auto"/>
            </w:tcBorders>
          </w:tcPr>
          <w:p w14:paraId="2F0A71F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350.769</w:t>
            </w:r>
            <w:r w:rsidRPr="000E0BBF">
              <w:rPr>
                <w:rFonts w:ascii="Times New Roman" w:hAnsi="Times New Roman" w:cs="Times New Roman"/>
                <w:kern w:val="0"/>
                <w:vertAlign w:val="superscript"/>
              </w:rPr>
              <w:t>***</w:t>
            </w:r>
          </w:p>
        </w:tc>
        <w:tc>
          <w:tcPr>
            <w:tcW w:w="1473" w:type="dxa"/>
            <w:tcBorders>
              <w:top w:val="single" w:sz="4" w:space="0" w:color="auto"/>
            </w:tcBorders>
          </w:tcPr>
          <w:p w14:paraId="3EC4016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352.562</w:t>
            </w:r>
            <w:r w:rsidRPr="000E0BBF">
              <w:rPr>
                <w:rFonts w:ascii="Times New Roman" w:hAnsi="Times New Roman" w:cs="Times New Roman"/>
                <w:kern w:val="0"/>
                <w:vertAlign w:val="superscript"/>
              </w:rPr>
              <w:t>***</w:t>
            </w:r>
          </w:p>
        </w:tc>
        <w:tc>
          <w:tcPr>
            <w:tcW w:w="1464" w:type="dxa"/>
            <w:tcBorders>
              <w:top w:val="single" w:sz="4" w:space="0" w:color="auto"/>
            </w:tcBorders>
          </w:tcPr>
          <w:p w14:paraId="0075B37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167.463</w:t>
            </w:r>
            <w:r w:rsidRPr="000E0BBF">
              <w:rPr>
                <w:rFonts w:ascii="Times New Roman" w:hAnsi="Times New Roman" w:cs="Times New Roman"/>
                <w:kern w:val="0"/>
                <w:vertAlign w:val="superscript"/>
              </w:rPr>
              <w:t>***</w:t>
            </w:r>
          </w:p>
        </w:tc>
        <w:tc>
          <w:tcPr>
            <w:tcW w:w="1464" w:type="dxa"/>
            <w:tcBorders>
              <w:top w:val="single" w:sz="4" w:space="0" w:color="auto"/>
            </w:tcBorders>
          </w:tcPr>
          <w:p w14:paraId="3E73A6A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294.890</w:t>
            </w:r>
            <w:r w:rsidRPr="000E0BBF">
              <w:rPr>
                <w:rFonts w:ascii="Times New Roman" w:hAnsi="Times New Roman" w:cs="Times New Roman"/>
                <w:kern w:val="0"/>
                <w:vertAlign w:val="superscript"/>
              </w:rPr>
              <w:t>***</w:t>
            </w:r>
          </w:p>
        </w:tc>
        <w:tc>
          <w:tcPr>
            <w:tcW w:w="1464" w:type="dxa"/>
            <w:tcBorders>
              <w:top w:val="single" w:sz="4" w:space="0" w:color="auto"/>
            </w:tcBorders>
          </w:tcPr>
          <w:p w14:paraId="75CDA2F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334.711</w:t>
            </w:r>
            <w:r w:rsidRPr="000E0BBF">
              <w:rPr>
                <w:rFonts w:ascii="Times New Roman" w:hAnsi="Times New Roman" w:cs="Times New Roman"/>
                <w:kern w:val="0"/>
                <w:vertAlign w:val="superscript"/>
              </w:rPr>
              <w:t>***</w:t>
            </w:r>
          </w:p>
        </w:tc>
        <w:tc>
          <w:tcPr>
            <w:tcW w:w="1464" w:type="dxa"/>
            <w:tcBorders>
              <w:top w:val="single" w:sz="4" w:space="0" w:color="auto"/>
            </w:tcBorders>
          </w:tcPr>
          <w:p w14:paraId="6CF1056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302.467</w:t>
            </w:r>
            <w:r w:rsidRPr="000E0BBF">
              <w:rPr>
                <w:rFonts w:ascii="Times New Roman" w:hAnsi="Times New Roman" w:cs="Times New Roman"/>
                <w:kern w:val="0"/>
                <w:vertAlign w:val="superscript"/>
              </w:rPr>
              <w:t>***</w:t>
            </w:r>
          </w:p>
        </w:tc>
      </w:tr>
      <w:tr w:rsidR="009E1D45" w:rsidRPr="000E0BBF" w14:paraId="27A59079" w14:textId="77777777" w:rsidTr="001019DE">
        <w:trPr>
          <w:trHeight w:val="279"/>
        </w:trPr>
        <w:tc>
          <w:tcPr>
            <w:tcW w:w="2184" w:type="dxa"/>
            <w:tcBorders>
              <w:bottom w:val="single" w:sz="4" w:space="0" w:color="auto"/>
            </w:tcBorders>
          </w:tcPr>
          <w:p w14:paraId="4A01B874" w14:textId="77777777" w:rsidR="009E1D45" w:rsidRPr="000E0BBF" w:rsidRDefault="009E1D45" w:rsidP="001019DE">
            <w:pPr>
              <w:jc w:val="center"/>
              <w:rPr>
                <w:rFonts w:ascii="Times New Roman" w:hAnsi="Times New Roman" w:cs="Times New Roman"/>
              </w:rPr>
            </w:pPr>
          </w:p>
        </w:tc>
        <w:tc>
          <w:tcPr>
            <w:tcW w:w="1464" w:type="dxa"/>
            <w:tcBorders>
              <w:bottom w:val="single" w:sz="4" w:space="0" w:color="auto"/>
            </w:tcBorders>
          </w:tcPr>
          <w:p w14:paraId="3F0E291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(61.090)</w:t>
            </w:r>
          </w:p>
        </w:tc>
        <w:tc>
          <w:tcPr>
            <w:tcW w:w="1464" w:type="dxa"/>
            <w:tcBorders>
              <w:bottom w:val="single" w:sz="4" w:space="0" w:color="auto"/>
            </w:tcBorders>
          </w:tcPr>
          <w:p w14:paraId="1D4BF16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(48.108)</w:t>
            </w:r>
          </w:p>
        </w:tc>
        <w:tc>
          <w:tcPr>
            <w:tcW w:w="1520" w:type="dxa"/>
            <w:tcBorders>
              <w:bottom w:val="single" w:sz="4" w:space="0" w:color="auto"/>
            </w:tcBorders>
          </w:tcPr>
          <w:p w14:paraId="0578311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(62.424)</w:t>
            </w:r>
          </w:p>
        </w:tc>
        <w:tc>
          <w:tcPr>
            <w:tcW w:w="1473" w:type="dxa"/>
            <w:tcBorders>
              <w:bottom w:val="single" w:sz="4" w:space="0" w:color="auto"/>
            </w:tcBorders>
          </w:tcPr>
          <w:p w14:paraId="6F0110A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(69.977)</w:t>
            </w:r>
          </w:p>
        </w:tc>
        <w:tc>
          <w:tcPr>
            <w:tcW w:w="1464" w:type="dxa"/>
            <w:tcBorders>
              <w:bottom w:val="single" w:sz="4" w:space="0" w:color="auto"/>
            </w:tcBorders>
          </w:tcPr>
          <w:p w14:paraId="16E9D9A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(41.234)</w:t>
            </w:r>
          </w:p>
        </w:tc>
        <w:tc>
          <w:tcPr>
            <w:tcW w:w="1464" w:type="dxa"/>
            <w:tcBorders>
              <w:bottom w:val="single" w:sz="4" w:space="0" w:color="auto"/>
            </w:tcBorders>
          </w:tcPr>
          <w:p w14:paraId="24507C1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(38.425)</w:t>
            </w:r>
          </w:p>
        </w:tc>
        <w:tc>
          <w:tcPr>
            <w:tcW w:w="1464" w:type="dxa"/>
            <w:tcBorders>
              <w:bottom w:val="single" w:sz="4" w:space="0" w:color="auto"/>
            </w:tcBorders>
          </w:tcPr>
          <w:p w14:paraId="3EB4772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(43.056)</w:t>
            </w:r>
          </w:p>
        </w:tc>
        <w:tc>
          <w:tcPr>
            <w:tcW w:w="1464" w:type="dxa"/>
            <w:tcBorders>
              <w:bottom w:val="single" w:sz="4" w:space="0" w:color="auto"/>
            </w:tcBorders>
          </w:tcPr>
          <w:p w14:paraId="2C4D2C3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(29.219)</w:t>
            </w:r>
          </w:p>
        </w:tc>
      </w:tr>
      <w:tr w:rsidR="009E1D45" w:rsidRPr="000E0BBF" w14:paraId="2A0A9259" w14:textId="77777777" w:rsidTr="001019DE">
        <w:trPr>
          <w:trHeight w:val="92"/>
        </w:trPr>
        <w:tc>
          <w:tcPr>
            <w:tcW w:w="2184" w:type="dxa"/>
            <w:tcBorders>
              <w:top w:val="single" w:sz="4" w:space="0" w:color="auto"/>
            </w:tcBorders>
          </w:tcPr>
          <w:p w14:paraId="15A433A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Functional Form</w:t>
            </w:r>
          </w:p>
        </w:tc>
        <w:tc>
          <w:tcPr>
            <w:tcW w:w="1464" w:type="dxa"/>
            <w:tcBorders>
              <w:top w:val="single" w:sz="4" w:space="0" w:color="auto"/>
            </w:tcBorders>
          </w:tcPr>
          <w:p w14:paraId="575F0C6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464" w:type="dxa"/>
            <w:tcBorders>
              <w:top w:val="single" w:sz="4" w:space="0" w:color="auto"/>
            </w:tcBorders>
          </w:tcPr>
          <w:p w14:paraId="746C7B4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520" w:type="dxa"/>
            <w:tcBorders>
              <w:top w:val="single" w:sz="4" w:space="0" w:color="auto"/>
            </w:tcBorders>
          </w:tcPr>
          <w:p w14:paraId="00C1354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473" w:type="dxa"/>
            <w:tcBorders>
              <w:top w:val="single" w:sz="4" w:space="0" w:color="auto"/>
            </w:tcBorders>
          </w:tcPr>
          <w:p w14:paraId="0F265F6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464" w:type="dxa"/>
            <w:tcBorders>
              <w:top w:val="single" w:sz="4" w:space="0" w:color="auto"/>
            </w:tcBorders>
          </w:tcPr>
          <w:p w14:paraId="4E27C8F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N/A</w:t>
            </w:r>
          </w:p>
        </w:tc>
        <w:tc>
          <w:tcPr>
            <w:tcW w:w="1464" w:type="dxa"/>
            <w:tcBorders>
              <w:top w:val="single" w:sz="4" w:space="0" w:color="auto"/>
            </w:tcBorders>
          </w:tcPr>
          <w:p w14:paraId="675688E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464" w:type="dxa"/>
            <w:tcBorders>
              <w:top w:val="single" w:sz="4" w:space="0" w:color="auto"/>
            </w:tcBorders>
          </w:tcPr>
          <w:p w14:paraId="7DD01415"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464" w:type="dxa"/>
            <w:tcBorders>
              <w:top w:val="single" w:sz="4" w:space="0" w:color="auto"/>
            </w:tcBorders>
          </w:tcPr>
          <w:p w14:paraId="329F72F9"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r>
      <w:tr w:rsidR="009E1D45" w:rsidRPr="000E0BBF" w14:paraId="44FD4EAA" w14:textId="77777777" w:rsidTr="001019DE">
        <w:trPr>
          <w:trHeight w:val="279"/>
        </w:trPr>
        <w:tc>
          <w:tcPr>
            <w:tcW w:w="2184" w:type="dxa"/>
            <w:tcBorders>
              <w:bottom w:val="single" w:sz="4" w:space="0" w:color="auto"/>
            </w:tcBorders>
          </w:tcPr>
          <w:p w14:paraId="729D3CA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Observations</w:t>
            </w:r>
          </w:p>
        </w:tc>
        <w:tc>
          <w:tcPr>
            <w:tcW w:w="1464" w:type="dxa"/>
            <w:tcBorders>
              <w:bottom w:val="single" w:sz="4" w:space="0" w:color="auto"/>
            </w:tcBorders>
          </w:tcPr>
          <w:p w14:paraId="152C576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512</w:t>
            </w:r>
          </w:p>
        </w:tc>
        <w:tc>
          <w:tcPr>
            <w:tcW w:w="1464" w:type="dxa"/>
            <w:tcBorders>
              <w:bottom w:val="single" w:sz="4" w:space="0" w:color="auto"/>
            </w:tcBorders>
          </w:tcPr>
          <w:p w14:paraId="61215BE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415</w:t>
            </w:r>
          </w:p>
        </w:tc>
        <w:tc>
          <w:tcPr>
            <w:tcW w:w="1520" w:type="dxa"/>
            <w:tcBorders>
              <w:bottom w:val="single" w:sz="4" w:space="0" w:color="auto"/>
            </w:tcBorders>
          </w:tcPr>
          <w:p w14:paraId="57CEF505"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512</w:t>
            </w:r>
          </w:p>
        </w:tc>
        <w:tc>
          <w:tcPr>
            <w:tcW w:w="1473" w:type="dxa"/>
            <w:tcBorders>
              <w:bottom w:val="single" w:sz="4" w:space="0" w:color="auto"/>
            </w:tcBorders>
          </w:tcPr>
          <w:p w14:paraId="399AADB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512</w:t>
            </w:r>
          </w:p>
        </w:tc>
        <w:tc>
          <w:tcPr>
            <w:tcW w:w="1464" w:type="dxa"/>
            <w:tcBorders>
              <w:bottom w:val="single" w:sz="4" w:space="0" w:color="auto"/>
            </w:tcBorders>
          </w:tcPr>
          <w:p w14:paraId="7E060FD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512</w:t>
            </w:r>
          </w:p>
        </w:tc>
        <w:tc>
          <w:tcPr>
            <w:tcW w:w="1464" w:type="dxa"/>
            <w:tcBorders>
              <w:bottom w:val="single" w:sz="4" w:space="0" w:color="auto"/>
            </w:tcBorders>
          </w:tcPr>
          <w:p w14:paraId="499B130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512</w:t>
            </w:r>
          </w:p>
        </w:tc>
        <w:tc>
          <w:tcPr>
            <w:tcW w:w="1464" w:type="dxa"/>
            <w:tcBorders>
              <w:bottom w:val="single" w:sz="4" w:space="0" w:color="auto"/>
            </w:tcBorders>
          </w:tcPr>
          <w:p w14:paraId="5D351475"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374</w:t>
            </w:r>
          </w:p>
        </w:tc>
        <w:tc>
          <w:tcPr>
            <w:tcW w:w="1464" w:type="dxa"/>
            <w:tcBorders>
              <w:bottom w:val="single" w:sz="4" w:space="0" w:color="auto"/>
            </w:tcBorders>
          </w:tcPr>
          <w:p w14:paraId="585EB97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348</w:t>
            </w:r>
          </w:p>
        </w:tc>
      </w:tr>
    </w:tbl>
    <w:p w14:paraId="44BF9A16" w14:textId="77777777" w:rsidR="009E1D45" w:rsidRPr="000E0BBF"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0E0BBF">
        <w:rPr>
          <w:rFonts w:ascii="Times New Roman" w:hAnsi="Times New Roman" w:cs="Times New Roman"/>
          <w:i/>
          <w:iCs/>
          <w:sz w:val="20"/>
          <w:szCs w:val="20"/>
        </w:rPr>
        <w:t xml:space="preserve">Notes: Robustness checks of average causal response estimates from Equation (1) aggregated using the weighted average of estimates in Equation (2). Dosage represents a continuous measure of the increase in the millage of the special education property tax in each ISD. All standard errors clustered at the ISD-level.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0.1,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0.05,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0.01</w:t>
      </w:r>
    </w:p>
    <w:p w14:paraId="05871F07" w14:textId="77777777" w:rsidR="009E1D45" w:rsidRPr="000E0BBF" w:rsidRDefault="009E1D45" w:rsidP="009E1D45">
      <w:pPr>
        <w:jc w:val="center"/>
        <w:rPr>
          <w:rFonts w:ascii="Times New Roman" w:hAnsi="Times New Roman" w:cs="Times New Roman"/>
          <w:b/>
          <w:bCs/>
        </w:rPr>
      </w:pPr>
    </w:p>
    <w:p w14:paraId="2BBE0BA3" w14:textId="77777777" w:rsidR="009E1D45" w:rsidRPr="000E0BBF" w:rsidRDefault="009E1D45" w:rsidP="009E1D45">
      <w:pPr>
        <w:jc w:val="center"/>
        <w:rPr>
          <w:rFonts w:ascii="Times New Roman" w:hAnsi="Times New Roman" w:cs="Times New Roman"/>
          <w:b/>
          <w:bCs/>
        </w:rPr>
      </w:pPr>
    </w:p>
    <w:p w14:paraId="34D1399E" w14:textId="77777777" w:rsidR="009E1D45" w:rsidRPr="000E0BBF" w:rsidRDefault="009E1D45" w:rsidP="009E1D45">
      <w:pPr>
        <w:jc w:val="center"/>
        <w:rPr>
          <w:rFonts w:ascii="Times New Roman" w:hAnsi="Times New Roman" w:cs="Times New Roman"/>
          <w:b/>
          <w:bCs/>
        </w:rPr>
      </w:pPr>
    </w:p>
    <w:p w14:paraId="599C2E3A" w14:textId="77777777" w:rsidR="009E1D45" w:rsidRPr="000E0BBF" w:rsidRDefault="009E1D45" w:rsidP="009E1D45">
      <w:pPr>
        <w:jc w:val="center"/>
        <w:rPr>
          <w:rFonts w:ascii="Times New Roman" w:hAnsi="Times New Roman" w:cs="Times New Roman"/>
          <w:b/>
          <w:bCs/>
        </w:rPr>
      </w:pPr>
    </w:p>
    <w:p w14:paraId="57A63A04" w14:textId="77777777" w:rsidR="009E1D45" w:rsidRPr="000E0BBF" w:rsidRDefault="009E1D45" w:rsidP="009E1D45">
      <w:pPr>
        <w:jc w:val="center"/>
        <w:rPr>
          <w:rFonts w:ascii="Times New Roman" w:hAnsi="Times New Roman" w:cs="Times New Roman"/>
          <w:b/>
          <w:bCs/>
        </w:rPr>
      </w:pPr>
    </w:p>
    <w:p w14:paraId="1F0C8837" w14:textId="77777777" w:rsidR="009E1D45" w:rsidRPr="000E0BBF" w:rsidRDefault="009E1D45" w:rsidP="009E1D45">
      <w:pPr>
        <w:jc w:val="center"/>
        <w:rPr>
          <w:rFonts w:ascii="Times New Roman" w:hAnsi="Times New Roman" w:cs="Times New Roman"/>
          <w:b/>
          <w:bCs/>
        </w:rPr>
      </w:pPr>
    </w:p>
    <w:p w14:paraId="3ED27AE0" w14:textId="77777777" w:rsidR="009E1D45" w:rsidRPr="000E0BBF" w:rsidRDefault="009E1D45" w:rsidP="009E1D45">
      <w:pPr>
        <w:jc w:val="center"/>
        <w:rPr>
          <w:rFonts w:ascii="Times New Roman" w:hAnsi="Times New Roman" w:cs="Times New Roman"/>
          <w:b/>
          <w:bCs/>
        </w:rPr>
      </w:pPr>
    </w:p>
    <w:p w14:paraId="2BC0B57F" w14:textId="77777777" w:rsidR="009E1D45" w:rsidRPr="000E0BBF" w:rsidRDefault="009E1D45" w:rsidP="009E1D45">
      <w:pPr>
        <w:jc w:val="center"/>
        <w:rPr>
          <w:rFonts w:ascii="Times New Roman" w:hAnsi="Times New Roman" w:cs="Times New Roman"/>
          <w:b/>
          <w:bCs/>
        </w:rPr>
      </w:pPr>
    </w:p>
    <w:p w14:paraId="1AFFA5FA" w14:textId="77777777" w:rsidR="009E1D45" w:rsidRPr="000E0BBF" w:rsidRDefault="009E1D45" w:rsidP="009E1D45">
      <w:pPr>
        <w:jc w:val="center"/>
        <w:rPr>
          <w:rFonts w:ascii="Times New Roman" w:hAnsi="Times New Roman" w:cs="Times New Roman"/>
          <w:b/>
          <w:bCs/>
        </w:rPr>
      </w:pPr>
    </w:p>
    <w:p w14:paraId="5C8F1D51" w14:textId="77777777" w:rsidR="009E1D45" w:rsidRPr="000E0BBF" w:rsidRDefault="009E1D45" w:rsidP="009E1D45">
      <w:pPr>
        <w:rPr>
          <w:rFonts w:ascii="Times New Roman" w:hAnsi="Times New Roman" w:cs="Times New Roman"/>
          <w:b/>
          <w:bCs/>
        </w:rPr>
      </w:pPr>
    </w:p>
    <w:p w14:paraId="7964A0C9" w14:textId="77777777" w:rsidR="009E1D45" w:rsidRPr="000E0BBF" w:rsidRDefault="009E1D45" w:rsidP="009E1D45">
      <w:pPr>
        <w:jc w:val="center"/>
        <w:rPr>
          <w:rFonts w:ascii="Times New Roman" w:hAnsi="Times New Roman" w:cs="Times New Roman"/>
          <w:b/>
          <w:bCs/>
        </w:rPr>
      </w:pPr>
    </w:p>
    <w:p w14:paraId="24794298"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Table A3: Robustness of Average Causal Response of ISD-Level Per-Pupil Special Education Expenditures following Earmarked Property Tax Increases</w:t>
      </w:r>
    </w:p>
    <w:tbl>
      <w:tblPr>
        <w:tblStyle w:val="TableGrid"/>
        <w:tblW w:w="1421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36"/>
        <w:gridCol w:w="1236"/>
        <w:gridCol w:w="1283"/>
        <w:gridCol w:w="1243"/>
        <w:gridCol w:w="1236"/>
        <w:gridCol w:w="1236"/>
        <w:gridCol w:w="1236"/>
        <w:gridCol w:w="1236"/>
        <w:gridCol w:w="1236"/>
        <w:gridCol w:w="1194"/>
      </w:tblGrid>
      <w:tr w:rsidR="009E1D45" w:rsidRPr="000E0BBF" w14:paraId="24ED0F2D" w14:textId="77777777" w:rsidTr="001019DE">
        <w:trPr>
          <w:trHeight w:val="233"/>
        </w:trPr>
        <w:tc>
          <w:tcPr>
            <w:tcW w:w="1843" w:type="dxa"/>
            <w:tcBorders>
              <w:top w:val="single" w:sz="4" w:space="0" w:color="auto"/>
            </w:tcBorders>
          </w:tcPr>
          <w:p w14:paraId="5AFC998F" w14:textId="77777777" w:rsidR="009E1D45" w:rsidRPr="000E0BBF" w:rsidRDefault="009E1D45" w:rsidP="001019DE">
            <w:pPr>
              <w:jc w:val="center"/>
              <w:rPr>
                <w:rFonts w:ascii="Times New Roman" w:hAnsi="Times New Roman" w:cs="Times New Roman"/>
              </w:rPr>
            </w:pPr>
          </w:p>
        </w:tc>
        <w:tc>
          <w:tcPr>
            <w:tcW w:w="1236" w:type="dxa"/>
            <w:tcBorders>
              <w:top w:val="single" w:sz="4" w:space="0" w:color="auto"/>
            </w:tcBorders>
          </w:tcPr>
          <w:p w14:paraId="279BE2B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(1)</w:t>
            </w:r>
          </w:p>
        </w:tc>
        <w:tc>
          <w:tcPr>
            <w:tcW w:w="1236" w:type="dxa"/>
            <w:tcBorders>
              <w:top w:val="single" w:sz="4" w:space="0" w:color="auto"/>
            </w:tcBorders>
          </w:tcPr>
          <w:p w14:paraId="225518D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(2)</w:t>
            </w:r>
          </w:p>
        </w:tc>
        <w:tc>
          <w:tcPr>
            <w:tcW w:w="1283" w:type="dxa"/>
            <w:tcBorders>
              <w:top w:val="single" w:sz="4" w:space="0" w:color="auto"/>
            </w:tcBorders>
          </w:tcPr>
          <w:p w14:paraId="35A6B6D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(3)</w:t>
            </w:r>
          </w:p>
        </w:tc>
        <w:tc>
          <w:tcPr>
            <w:tcW w:w="1243" w:type="dxa"/>
            <w:tcBorders>
              <w:top w:val="single" w:sz="4" w:space="0" w:color="auto"/>
            </w:tcBorders>
          </w:tcPr>
          <w:p w14:paraId="57C11B9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(4)</w:t>
            </w:r>
          </w:p>
        </w:tc>
        <w:tc>
          <w:tcPr>
            <w:tcW w:w="1236" w:type="dxa"/>
            <w:tcBorders>
              <w:top w:val="single" w:sz="4" w:space="0" w:color="auto"/>
            </w:tcBorders>
          </w:tcPr>
          <w:p w14:paraId="264B4BC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(5)</w:t>
            </w:r>
          </w:p>
        </w:tc>
        <w:tc>
          <w:tcPr>
            <w:tcW w:w="1236" w:type="dxa"/>
            <w:tcBorders>
              <w:top w:val="single" w:sz="4" w:space="0" w:color="auto"/>
            </w:tcBorders>
          </w:tcPr>
          <w:p w14:paraId="31A6599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(6)</w:t>
            </w:r>
          </w:p>
        </w:tc>
        <w:tc>
          <w:tcPr>
            <w:tcW w:w="1236" w:type="dxa"/>
            <w:tcBorders>
              <w:top w:val="single" w:sz="4" w:space="0" w:color="auto"/>
            </w:tcBorders>
          </w:tcPr>
          <w:p w14:paraId="55C9042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(7)</w:t>
            </w:r>
          </w:p>
        </w:tc>
        <w:tc>
          <w:tcPr>
            <w:tcW w:w="1236" w:type="dxa"/>
            <w:tcBorders>
              <w:top w:val="single" w:sz="4" w:space="0" w:color="auto"/>
            </w:tcBorders>
          </w:tcPr>
          <w:p w14:paraId="1BB1FCE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(8)</w:t>
            </w:r>
          </w:p>
        </w:tc>
        <w:tc>
          <w:tcPr>
            <w:tcW w:w="1236" w:type="dxa"/>
            <w:tcBorders>
              <w:top w:val="single" w:sz="4" w:space="0" w:color="auto"/>
            </w:tcBorders>
          </w:tcPr>
          <w:p w14:paraId="163FF97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(9)</w:t>
            </w:r>
          </w:p>
        </w:tc>
        <w:tc>
          <w:tcPr>
            <w:tcW w:w="1194" w:type="dxa"/>
            <w:tcBorders>
              <w:top w:val="single" w:sz="4" w:space="0" w:color="auto"/>
            </w:tcBorders>
          </w:tcPr>
          <w:p w14:paraId="2F532CD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(10)</w:t>
            </w:r>
          </w:p>
        </w:tc>
      </w:tr>
      <w:tr w:rsidR="009E1D45" w:rsidRPr="000E0BBF" w14:paraId="67B7D139" w14:textId="77777777" w:rsidTr="001019DE">
        <w:trPr>
          <w:trHeight w:val="1153"/>
        </w:trPr>
        <w:tc>
          <w:tcPr>
            <w:tcW w:w="1843" w:type="dxa"/>
          </w:tcPr>
          <w:p w14:paraId="356BF29C" w14:textId="77777777" w:rsidR="009E1D45" w:rsidRPr="000E0BBF" w:rsidRDefault="009E1D45" w:rsidP="001019DE">
            <w:pPr>
              <w:jc w:val="center"/>
              <w:rPr>
                <w:rFonts w:ascii="Times New Roman" w:hAnsi="Times New Roman" w:cs="Times New Roman"/>
              </w:rPr>
            </w:pPr>
          </w:p>
        </w:tc>
        <w:tc>
          <w:tcPr>
            <w:tcW w:w="1236" w:type="dxa"/>
            <w:tcBorders>
              <w:bottom w:val="single" w:sz="4" w:space="0" w:color="auto"/>
            </w:tcBorders>
          </w:tcPr>
          <w:p w14:paraId="09472C88"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Base Model</w:t>
            </w:r>
          </w:p>
        </w:tc>
        <w:tc>
          <w:tcPr>
            <w:tcW w:w="1236" w:type="dxa"/>
            <w:tcBorders>
              <w:bottom w:val="single" w:sz="4" w:space="0" w:color="auto"/>
            </w:tcBorders>
          </w:tcPr>
          <w:p w14:paraId="0A84196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Lag of Per Pupil Spending</w:t>
            </w:r>
          </w:p>
        </w:tc>
        <w:tc>
          <w:tcPr>
            <w:tcW w:w="1283" w:type="dxa"/>
            <w:tcBorders>
              <w:bottom w:val="single" w:sz="4" w:space="0" w:color="auto"/>
            </w:tcBorders>
          </w:tcPr>
          <w:p w14:paraId="08D03109"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Poisson Regression</w:t>
            </w:r>
          </w:p>
        </w:tc>
        <w:tc>
          <w:tcPr>
            <w:tcW w:w="1243" w:type="dxa"/>
            <w:tcBorders>
              <w:bottom w:val="single" w:sz="4" w:space="0" w:color="auto"/>
            </w:tcBorders>
          </w:tcPr>
          <w:p w14:paraId="35F5CFDB"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Interact with Demeaned Covariates</w:t>
            </w:r>
          </w:p>
        </w:tc>
        <w:tc>
          <w:tcPr>
            <w:tcW w:w="1236" w:type="dxa"/>
            <w:tcBorders>
              <w:bottom w:val="single" w:sz="4" w:space="0" w:color="auto"/>
            </w:tcBorders>
          </w:tcPr>
          <w:p w14:paraId="3233D72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Binary Treatment</w:t>
            </w:r>
          </w:p>
        </w:tc>
        <w:tc>
          <w:tcPr>
            <w:tcW w:w="1236" w:type="dxa"/>
            <w:tcBorders>
              <w:bottom w:val="single" w:sz="4" w:space="0" w:color="auto"/>
            </w:tcBorders>
          </w:tcPr>
          <w:p w14:paraId="09D0ED4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TWFE</w:t>
            </w:r>
          </w:p>
        </w:tc>
        <w:tc>
          <w:tcPr>
            <w:tcW w:w="1236" w:type="dxa"/>
            <w:tcBorders>
              <w:bottom w:val="single" w:sz="4" w:space="0" w:color="auto"/>
            </w:tcBorders>
          </w:tcPr>
          <w:p w14:paraId="2F2B599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Balanced Panel</w:t>
            </w:r>
          </w:p>
        </w:tc>
        <w:tc>
          <w:tcPr>
            <w:tcW w:w="1236" w:type="dxa"/>
            <w:tcBorders>
              <w:bottom w:val="single" w:sz="4" w:space="0" w:color="auto"/>
            </w:tcBorders>
          </w:tcPr>
          <w:p w14:paraId="2D17DFE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Cengiz et al. (2019) Stacked</w:t>
            </w:r>
          </w:p>
        </w:tc>
        <w:tc>
          <w:tcPr>
            <w:tcW w:w="1236" w:type="dxa"/>
            <w:tcBorders>
              <w:bottom w:val="single" w:sz="4" w:space="0" w:color="auto"/>
            </w:tcBorders>
          </w:tcPr>
          <w:p w14:paraId="07F64F2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CH WAS Estimator</w:t>
            </w:r>
          </w:p>
        </w:tc>
        <w:tc>
          <w:tcPr>
            <w:tcW w:w="1194" w:type="dxa"/>
            <w:tcBorders>
              <w:bottom w:val="single" w:sz="4" w:space="0" w:color="auto"/>
            </w:tcBorders>
          </w:tcPr>
          <w:p w14:paraId="0F48678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SDID with Binary Treatment</w:t>
            </w:r>
          </w:p>
        </w:tc>
      </w:tr>
      <w:tr w:rsidR="009E1D45" w:rsidRPr="000E0BBF" w14:paraId="512082C5" w14:textId="77777777" w:rsidTr="001019DE">
        <w:trPr>
          <w:trHeight w:val="271"/>
        </w:trPr>
        <w:tc>
          <w:tcPr>
            <w:tcW w:w="1843" w:type="dxa"/>
          </w:tcPr>
          <w:p w14:paraId="11E2603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Dosage</w:t>
            </w:r>
          </w:p>
        </w:tc>
        <w:tc>
          <w:tcPr>
            <w:tcW w:w="1236" w:type="dxa"/>
            <w:tcBorders>
              <w:top w:val="single" w:sz="4" w:space="0" w:color="auto"/>
            </w:tcBorders>
          </w:tcPr>
          <w:p w14:paraId="3492A02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124.116</w:t>
            </w:r>
            <w:r w:rsidRPr="000E0BBF">
              <w:rPr>
                <w:rFonts w:ascii="Times New Roman" w:hAnsi="Times New Roman" w:cs="Times New Roman"/>
                <w:kern w:val="0"/>
                <w:vertAlign w:val="superscript"/>
              </w:rPr>
              <w:t>*</w:t>
            </w:r>
          </w:p>
        </w:tc>
        <w:tc>
          <w:tcPr>
            <w:tcW w:w="1236" w:type="dxa"/>
            <w:tcBorders>
              <w:top w:val="single" w:sz="4" w:space="0" w:color="auto"/>
            </w:tcBorders>
          </w:tcPr>
          <w:p w14:paraId="7818025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10.155</w:t>
            </w:r>
          </w:p>
        </w:tc>
        <w:tc>
          <w:tcPr>
            <w:tcW w:w="1283" w:type="dxa"/>
            <w:tcBorders>
              <w:top w:val="single" w:sz="4" w:space="0" w:color="auto"/>
            </w:tcBorders>
          </w:tcPr>
          <w:p w14:paraId="4C1F9B1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76.357</w:t>
            </w:r>
            <w:r w:rsidRPr="000E0BBF">
              <w:rPr>
                <w:rFonts w:ascii="Times New Roman" w:hAnsi="Times New Roman" w:cs="Times New Roman"/>
                <w:kern w:val="0"/>
                <w:vertAlign w:val="superscript"/>
              </w:rPr>
              <w:t>*</w:t>
            </w:r>
          </w:p>
        </w:tc>
        <w:tc>
          <w:tcPr>
            <w:tcW w:w="1243" w:type="dxa"/>
            <w:tcBorders>
              <w:top w:val="single" w:sz="4" w:space="0" w:color="auto"/>
            </w:tcBorders>
          </w:tcPr>
          <w:p w14:paraId="738D1A5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45.704</w:t>
            </w:r>
          </w:p>
        </w:tc>
        <w:tc>
          <w:tcPr>
            <w:tcW w:w="1236" w:type="dxa"/>
            <w:tcBorders>
              <w:top w:val="single" w:sz="4" w:space="0" w:color="auto"/>
            </w:tcBorders>
          </w:tcPr>
          <w:p w14:paraId="07377D48"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42.941</w:t>
            </w:r>
          </w:p>
        </w:tc>
        <w:tc>
          <w:tcPr>
            <w:tcW w:w="1236" w:type="dxa"/>
            <w:tcBorders>
              <w:top w:val="single" w:sz="4" w:space="0" w:color="auto"/>
            </w:tcBorders>
          </w:tcPr>
          <w:p w14:paraId="76CDDD3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33.884</w:t>
            </w:r>
          </w:p>
        </w:tc>
        <w:tc>
          <w:tcPr>
            <w:tcW w:w="1236" w:type="dxa"/>
            <w:tcBorders>
              <w:top w:val="single" w:sz="4" w:space="0" w:color="auto"/>
            </w:tcBorders>
          </w:tcPr>
          <w:p w14:paraId="52AB76D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38.997</w:t>
            </w:r>
          </w:p>
        </w:tc>
        <w:tc>
          <w:tcPr>
            <w:tcW w:w="1236" w:type="dxa"/>
            <w:tcBorders>
              <w:top w:val="single" w:sz="4" w:space="0" w:color="auto"/>
            </w:tcBorders>
          </w:tcPr>
          <w:p w14:paraId="16FA1DD9"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36.535</w:t>
            </w:r>
          </w:p>
        </w:tc>
        <w:tc>
          <w:tcPr>
            <w:tcW w:w="1236" w:type="dxa"/>
            <w:tcBorders>
              <w:top w:val="single" w:sz="4" w:space="0" w:color="auto"/>
            </w:tcBorders>
          </w:tcPr>
          <w:p w14:paraId="1457D338"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16.695</w:t>
            </w:r>
          </w:p>
        </w:tc>
        <w:tc>
          <w:tcPr>
            <w:tcW w:w="1194" w:type="dxa"/>
            <w:tcBorders>
              <w:top w:val="single" w:sz="4" w:space="0" w:color="auto"/>
            </w:tcBorders>
          </w:tcPr>
          <w:p w14:paraId="084EC67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27.279</w:t>
            </w:r>
          </w:p>
        </w:tc>
      </w:tr>
      <w:tr w:rsidR="009E1D45" w:rsidRPr="000E0BBF" w14:paraId="0642753E" w14:textId="77777777" w:rsidTr="001019DE">
        <w:trPr>
          <w:trHeight w:val="271"/>
        </w:trPr>
        <w:tc>
          <w:tcPr>
            <w:tcW w:w="1843" w:type="dxa"/>
            <w:tcBorders>
              <w:bottom w:val="single" w:sz="4" w:space="0" w:color="auto"/>
            </w:tcBorders>
          </w:tcPr>
          <w:p w14:paraId="67459A9A" w14:textId="77777777" w:rsidR="009E1D45" w:rsidRPr="000E0BBF" w:rsidRDefault="009E1D45" w:rsidP="001019DE">
            <w:pPr>
              <w:jc w:val="center"/>
              <w:rPr>
                <w:rFonts w:ascii="Times New Roman" w:hAnsi="Times New Roman" w:cs="Times New Roman"/>
              </w:rPr>
            </w:pPr>
          </w:p>
        </w:tc>
        <w:tc>
          <w:tcPr>
            <w:tcW w:w="1236" w:type="dxa"/>
            <w:tcBorders>
              <w:bottom w:val="single" w:sz="4" w:space="0" w:color="auto"/>
            </w:tcBorders>
          </w:tcPr>
          <w:p w14:paraId="7448FA6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(63.365)</w:t>
            </w:r>
          </w:p>
        </w:tc>
        <w:tc>
          <w:tcPr>
            <w:tcW w:w="1236" w:type="dxa"/>
            <w:tcBorders>
              <w:bottom w:val="single" w:sz="4" w:space="0" w:color="auto"/>
            </w:tcBorders>
          </w:tcPr>
          <w:p w14:paraId="2EBA65C8"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(20.377)</w:t>
            </w:r>
          </w:p>
        </w:tc>
        <w:tc>
          <w:tcPr>
            <w:tcW w:w="1283" w:type="dxa"/>
            <w:tcBorders>
              <w:bottom w:val="single" w:sz="4" w:space="0" w:color="auto"/>
            </w:tcBorders>
          </w:tcPr>
          <w:p w14:paraId="3FDF7DF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(39.592)</w:t>
            </w:r>
          </w:p>
        </w:tc>
        <w:tc>
          <w:tcPr>
            <w:tcW w:w="1243" w:type="dxa"/>
            <w:tcBorders>
              <w:bottom w:val="single" w:sz="4" w:space="0" w:color="auto"/>
            </w:tcBorders>
          </w:tcPr>
          <w:p w14:paraId="7BEFBA6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(75.215)</w:t>
            </w:r>
          </w:p>
        </w:tc>
        <w:tc>
          <w:tcPr>
            <w:tcW w:w="1236" w:type="dxa"/>
            <w:tcBorders>
              <w:bottom w:val="single" w:sz="4" w:space="0" w:color="auto"/>
            </w:tcBorders>
          </w:tcPr>
          <w:p w14:paraId="36CDF2A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(36.715)</w:t>
            </w:r>
          </w:p>
        </w:tc>
        <w:tc>
          <w:tcPr>
            <w:tcW w:w="1236" w:type="dxa"/>
            <w:tcBorders>
              <w:bottom w:val="single" w:sz="4" w:space="0" w:color="auto"/>
            </w:tcBorders>
          </w:tcPr>
          <w:p w14:paraId="15E3D62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(27.822)</w:t>
            </w:r>
          </w:p>
        </w:tc>
        <w:tc>
          <w:tcPr>
            <w:tcW w:w="1236" w:type="dxa"/>
            <w:tcBorders>
              <w:bottom w:val="single" w:sz="4" w:space="0" w:color="auto"/>
            </w:tcBorders>
          </w:tcPr>
          <w:p w14:paraId="609B60F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(53.699)</w:t>
            </w:r>
          </w:p>
        </w:tc>
        <w:tc>
          <w:tcPr>
            <w:tcW w:w="1236" w:type="dxa"/>
            <w:tcBorders>
              <w:bottom w:val="single" w:sz="4" w:space="0" w:color="auto"/>
            </w:tcBorders>
          </w:tcPr>
          <w:p w14:paraId="43E30865"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(37.375)</w:t>
            </w:r>
          </w:p>
        </w:tc>
        <w:tc>
          <w:tcPr>
            <w:tcW w:w="1236" w:type="dxa"/>
            <w:tcBorders>
              <w:bottom w:val="single" w:sz="4" w:space="0" w:color="auto"/>
            </w:tcBorders>
          </w:tcPr>
          <w:p w14:paraId="77C5D46B"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(23.691)</w:t>
            </w:r>
          </w:p>
        </w:tc>
        <w:tc>
          <w:tcPr>
            <w:tcW w:w="1194" w:type="dxa"/>
            <w:tcBorders>
              <w:bottom w:val="single" w:sz="4" w:space="0" w:color="auto"/>
            </w:tcBorders>
          </w:tcPr>
          <w:p w14:paraId="7B7302E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(101.910)</w:t>
            </w:r>
          </w:p>
        </w:tc>
      </w:tr>
      <w:tr w:rsidR="009E1D45" w:rsidRPr="000E0BBF" w14:paraId="1A6F809E" w14:textId="77777777" w:rsidTr="001019DE">
        <w:trPr>
          <w:trHeight w:val="90"/>
        </w:trPr>
        <w:tc>
          <w:tcPr>
            <w:tcW w:w="1843" w:type="dxa"/>
            <w:tcBorders>
              <w:top w:val="single" w:sz="4" w:space="0" w:color="auto"/>
            </w:tcBorders>
          </w:tcPr>
          <w:p w14:paraId="3E98769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Functional Form</w:t>
            </w:r>
          </w:p>
        </w:tc>
        <w:tc>
          <w:tcPr>
            <w:tcW w:w="1236" w:type="dxa"/>
            <w:tcBorders>
              <w:top w:val="single" w:sz="4" w:space="0" w:color="auto"/>
            </w:tcBorders>
          </w:tcPr>
          <w:p w14:paraId="7A0B032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1384F01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83" w:type="dxa"/>
            <w:tcBorders>
              <w:top w:val="single" w:sz="4" w:space="0" w:color="auto"/>
            </w:tcBorders>
          </w:tcPr>
          <w:p w14:paraId="6DFC9FF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43" w:type="dxa"/>
            <w:tcBorders>
              <w:top w:val="single" w:sz="4" w:space="0" w:color="auto"/>
            </w:tcBorders>
          </w:tcPr>
          <w:p w14:paraId="0F91A43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6156AC5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N/A</w:t>
            </w:r>
          </w:p>
        </w:tc>
        <w:tc>
          <w:tcPr>
            <w:tcW w:w="1236" w:type="dxa"/>
            <w:tcBorders>
              <w:top w:val="single" w:sz="4" w:space="0" w:color="auto"/>
            </w:tcBorders>
          </w:tcPr>
          <w:p w14:paraId="551FAE2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3B68C86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3DDC5CF9"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49E7A29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194" w:type="dxa"/>
            <w:tcBorders>
              <w:top w:val="single" w:sz="4" w:space="0" w:color="auto"/>
            </w:tcBorders>
          </w:tcPr>
          <w:p w14:paraId="56551E1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N/A</w:t>
            </w:r>
          </w:p>
        </w:tc>
      </w:tr>
      <w:tr w:rsidR="009E1D45" w:rsidRPr="000E0BBF" w14:paraId="2F42CD45" w14:textId="77777777" w:rsidTr="001019DE">
        <w:trPr>
          <w:trHeight w:val="271"/>
        </w:trPr>
        <w:tc>
          <w:tcPr>
            <w:tcW w:w="1843" w:type="dxa"/>
            <w:tcBorders>
              <w:bottom w:val="single" w:sz="4" w:space="0" w:color="auto"/>
            </w:tcBorders>
          </w:tcPr>
          <w:p w14:paraId="42A5EC5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Observations</w:t>
            </w:r>
          </w:p>
        </w:tc>
        <w:tc>
          <w:tcPr>
            <w:tcW w:w="1236" w:type="dxa"/>
            <w:tcBorders>
              <w:bottom w:val="single" w:sz="4" w:space="0" w:color="auto"/>
            </w:tcBorders>
          </w:tcPr>
          <w:p w14:paraId="72688F4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851</w:t>
            </w:r>
          </w:p>
        </w:tc>
        <w:tc>
          <w:tcPr>
            <w:tcW w:w="1236" w:type="dxa"/>
            <w:tcBorders>
              <w:bottom w:val="single" w:sz="4" w:space="0" w:color="auto"/>
            </w:tcBorders>
          </w:tcPr>
          <w:p w14:paraId="304CC60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738</w:t>
            </w:r>
          </w:p>
        </w:tc>
        <w:tc>
          <w:tcPr>
            <w:tcW w:w="1283" w:type="dxa"/>
            <w:tcBorders>
              <w:bottom w:val="single" w:sz="4" w:space="0" w:color="auto"/>
            </w:tcBorders>
          </w:tcPr>
          <w:p w14:paraId="0C558F0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851</w:t>
            </w:r>
          </w:p>
        </w:tc>
        <w:tc>
          <w:tcPr>
            <w:tcW w:w="1243" w:type="dxa"/>
            <w:tcBorders>
              <w:bottom w:val="single" w:sz="4" w:space="0" w:color="auto"/>
            </w:tcBorders>
          </w:tcPr>
          <w:p w14:paraId="495BBD0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851</w:t>
            </w:r>
          </w:p>
        </w:tc>
        <w:tc>
          <w:tcPr>
            <w:tcW w:w="1236" w:type="dxa"/>
            <w:tcBorders>
              <w:bottom w:val="single" w:sz="4" w:space="0" w:color="auto"/>
            </w:tcBorders>
          </w:tcPr>
          <w:p w14:paraId="5F6FA11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851</w:t>
            </w:r>
          </w:p>
        </w:tc>
        <w:tc>
          <w:tcPr>
            <w:tcW w:w="1236" w:type="dxa"/>
            <w:tcBorders>
              <w:bottom w:val="single" w:sz="4" w:space="0" w:color="auto"/>
            </w:tcBorders>
          </w:tcPr>
          <w:p w14:paraId="5882D5C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851</w:t>
            </w:r>
          </w:p>
        </w:tc>
        <w:tc>
          <w:tcPr>
            <w:tcW w:w="1236" w:type="dxa"/>
            <w:tcBorders>
              <w:bottom w:val="single" w:sz="4" w:space="0" w:color="auto"/>
            </w:tcBorders>
          </w:tcPr>
          <w:p w14:paraId="2E4F190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704</w:t>
            </w:r>
          </w:p>
        </w:tc>
        <w:tc>
          <w:tcPr>
            <w:tcW w:w="1236" w:type="dxa"/>
            <w:tcBorders>
              <w:bottom w:val="single" w:sz="4" w:space="0" w:color="auto"/>
            </w:tcBorders>
          </w:tcPr>
          <w:p w14:paraId="2B7F885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5597</w:t>
            </w:r>
          </w:p>
        </w:tc>
        <w:tc>
          <w:tcPr>
            <w:tcW w:w="1236" w:type="dxa"/>
            <w:tcBorders>
              <w:bottom w:val="single" w:sz="4" w:space="0" w:color="auto"/>
            </w:tcBorders>
          </w:tcPr>
          <w:p w14:paraId="569F56C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579</w:t>
            </w:r>
          </w:p>
        </w:tc>
        <w:tc>
          <w:tcPr>
            <w:tcW w:w="1194" w:type="dxa"/>
            <w:tcBorders>
              <w:bottom w:val="single" w:sz="4" w:space="0" w:color="auto"/>
            </w:tcBorders>
          </w:tcPr>
          <w:p w14:paraId="39D158A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704</w:t>
            </w:r>
          </w:p>
        </w:tc>
      </w:tr>
    </w:tbl>
    <w:p w14:paraId="30C9984C" w14:textId="77777777" w:rsidR="009E1D45" w:rsidRPr="000E0BBF"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0E0BBF">
        <w:rPr>
          <w:rFonts w:ascii="Times New Roman" w:hAnsi="Times New Roman" w:cs="Times New Roman"/>
          <w:i/>
          <w:iCs/>
          <w:sz w:val="20"/>
          <w:szCs w:val="20"/>
        </w:rPr>
        <w:t xml:space="preserve">Notes: Robustness checks of average causal response estimates from Equation (1) aggregated using the weighted average of estimates in Equation (2). Dosage represents a continuous measure of the increase in the millage of the special education property tax in each ISD. All standard errors clustered at the ISD-level.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0.1,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0.05,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0.01</w:t>
      </w:r>
    </w:p>
    <w:p w14:paraId="40E47958" w14:textId="77777777" w:rsidR="009E1D45" w:rsidRPr="000E0BBF" w:rsidRDefault="009E1D45" w:rsidP="009E1D45">
      <w:pPr>
        <w:jc w:val="center"/>
        <w:rPr>
          <w:rFonts w:ascii="Times New Roman" w:hAnsi="Times New Roman" w:cs="Times New Roman"/>
          <w:b/>
          <w:bCs/>
        </w:rPr>
      </w:pPr>
    </w:p>
    <w:p w14:paraId="181007BA" w14:textId="77777777" w:rsidR="009E1D45" w:rsidRPr="000E0BBF" w:rsidRDefault="009E1D45" w:rsidP="009E1D45">
      <w:pPr>
        <w:jc w:val="center"/>
        <w:rPr>
          <w:rFonts w:ascii="Times New Roman" w:hAnsi="Times New Roman" w:cs="Times New Roman"/>
          <w:b/>
          <w:bCs/>
        </w:rPr>
      </w:pPr>
    </w:p>
    <w:p w14:paraId="3A052D7B" w14:textId="77777777" w:rsidR="009E1D45" w:rsidRPr="000E0BBF" w:rsidRDefault="009E1D45" w:rsidP="009E1D45">
      <w:pPr>
        <w:rPr>
          <w:rFonts w:ascii="Times New Roman" w:hAnsi="Times New Roman" w:cs="Times New Roman"/>
        </w:rPr>
      </w:pPr>
    </w:p>
    <w:p w14:paraId="73AEA963" w14:textId="77777777" w:rsidR="009E1D45" w:rsidRPr="000E0BBF" w:rsidRDefault="009E1D45" w:rsidP="009E1D45">
      <w:pPr>
        <w:rPr>
          <w:rFonts w:ascii="Times New Roman" w:hAnsi="Times New Roman" w:cs="Times New Roman"/>
        </w:rPr>
      </w:pPr>
    </w:p>
    <w:p w14:paraId="0EA535C7" w14:textId="77777777" w:rsidR="009E1D45" w:rsidRPr="000E0BBF" w:rsidRDefault="009E1D45" w:rsidP="009E1D45">
      <w:pPr>
        <w:rPr>
          <w:rFonts w:ascii="Times New Roman" w:hAnsi="Times New Roman" w:cs="Times New Roman"/>
        </w:rPr>
      </w:pPr>
    </w:p>
    <w:p w14:paraId="730CBBAD" w14:textId="77777777" w:rsidR="009E1D45" w:rsidRPr="000E0BBF" w:rsidRDefault="009E1D45" w:rsidP="009E1D45">
      <w:pPr>
        <w:rPr>
          <w:rFonts w:ascii="Times New Roman" w:hAnsi="Times New Roman" w:cs="Times New Roman"/>
        </w:rPr>
      </w:pPr>
    </w:p>
    <w:p w14:paraId="4A88D861" w14:textId="77777777" w:rsidR="009E1D45" w:rsidRPr="000E0BBF" w:rsidRDefault="009E1D45" w:rsidP="009E1D45">
      <w:pPr>
        <w:rPr>
          <w:rFonts w:ascii="Times New Roman" w:hAnsi="Times New Roman" w:cs="Times New Roman"/>
        </w:rPr>
      </w:pPr>
    </w:p>
    <w:p w14:paraId="7EE1D6BA" w14:textId="77777777" w:rsidR="009E1D45" w:rsidRPr="000E0BBF" w:rsidRDefault="009E1D45" w:rsidP="009E1D45">
      <w:pPr>
        <w:rPr>
          <w:rFonts w:ascii="Times New Roman" w:hAnsi="Times New Roman" w:cs="Times New Roman"/>
        </w:rPr>
      </w:pPr>
    </w:p>
    <w:p w14:paraId="38F7A770" w14:textId="77777777" w:rsidR="009E1D45" w:rsidRPr="000E0BBF" w:rsidRDefault="009E1D45" w:rsidP="009E1D45">
      <w:pPr>
        <w:rPr>
          <w:rFonts w:ascii="Times New Roman" w:hAnsi="Times New Roman" w:cs="Times New Roman"/>
        </w:rPr>
      </w:pPr>
    </w:p>
    <w:p w14:paraId="0FDF55EC" w14:textId="77777777" w:rsidR="009E1D45" w:rsidRPr="000E0BBF" w:rsidRDefault="009E1D45" w:rsidP="009E1D45">
      <w:pPr>
        <w:rPr>
          <w:rFonts w:ascii="Times New Roman" w:hAnsi="Times New Roman" w:cs="Times New Roman"/>
        </w:rPr>
      </w:pPr>
    </w:p>
    <w:p w14:paraId="05EFF73C" w14:textId="77777777" w:rsidR="009E1D45" w:rsidRPr="000E0BBF" w:rsidRDefault="009E1D45" w:rsidP="009E1D45">
      <w:pPr>
        <w:rPr>
          <w:rFonts w:ascii="Times New Roman" w:hAnsi="Times New Roman" w:cs="Times New Roman"/>
        </w:rPr>
      </w:pPr>
    </w:p>
    <w:p w14:paraId="61EC6A9F"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Table A4: Robustness of Average Causal Response of ISD-Level Per-Pupil Special Education Transfers to Local School Districts following Earmarked Property Tax Increases</w:t>
      </w:r>
    </w:p>
    <w:tbl>
      <w:tblPr>
        <w:tblStyle w:val="TableGrid"/>
        <w:tblW w:w="1421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36"/>
        <w:gridCol w:w="1236"/>
        <w:gridCol w:w="1283"/>
        <w:gridCol w:w="1243"/>
        <w:gridCol w:w="1236"/>
        <w:gridCol w:w="1236"/>
        <w:gridCol w:w="1236"/>
        <w:gridCol w:w="1236"/>
        <w:gridCol w:w="1236"/>
        <w:gridCol w:w="1194"/>
      </w:tblGrid>
      <w:tr w:rsidR="009E1D45" w:rsidRPr="000E0BBF" w14:paraId="3DDA681A" w14:textId="77777777" w:rsidTr="001019DE">
        <w:trPr>
          <w:trHeight w:val="233"/>
        </w:trPr>
        <w:tc>
          <w:tcPr>
            <w:tcW w:w="1843" w:type="dxa"/>
            <w:tcBorders>
              <w:top w:val="single" w:sz="4" w:space="0" w:color="auto"/>
            </w:tcBorders>
          </w:tcPr>
          <w:p w14:paraId="45C34DF2" w14:textId="77777777" w:rsidR="009E1D45" w:rsidRPr="000E0BBF" w:rsidRDefault="009E1D45" w:rsidP="001019DE">
            <w:pPr>
              <w:jc w:val="center"/>
              <w:rPr>
                <w:rFonts w:ascii="Times New Roman" w:hAnsi="Times New Roman" w:cs="Times New Roman"/>
              </w:rPr>
            </w:pPr>
          </w:p>
        </w:tc>
        <w:tc>
          <w:tcPr>
            <w:tcW w:w="1236" w:type="dxa"/>
            <w:tcBorders>
              <w:top w:val="single" w:sz="4" w:space="0" w:color="auto"/>
            </w:tcBorders>
          </w:tcPr>
          <w:p w14:paraId="7092243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(1)</w:t>
            </w:r>
          </w:p>
        </w:tc>
        <w:tc>
          <w:tcPr>
            <w:tcW w:w="1236" w:type="dxa"/>
            <w:tcBorders>
              <w:top w:val="single" w:sz="4" w:space="0" w:color="auto"/>
            </w:tcBorders>
          </w:tcPr>
          <w:p w14:paraId="3185248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(2)</w:t>
            </w:r>
          </w:p>
        </w:tc>
        <w:tc>
          <w:tcPr>
            <w:tcW w:w="1283" w:type="dxa"/>
            <w:tcBorders>
              <w:top w:val="single" w:sz="4" w:space="0" w:color="auto"/>
            </w:tcBorders>
          </w:tcPr>
          <w:p w14:paraId="5BD65BB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(3)</w:t>
            </w:r>
          </w:p>
        </w:tc>
        <w:tc>
          <w:tcPr>
            <w:tcW w:w="1243" w:type="dxa"/>
            <w:tcBorders>
              <w:top w:val="single" w:sz="4" w:space="0" w:color="auto"/>
            </w:tcBorders>
          </w:tcPr>
          <w:p w14:paraId="4989D9D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(4)</w:t>
            </w:r>
          </w:p>
        </w:tc>
        <w:tc>
          <w:tcPr>
            <w:tcW w:w="1236" w:type="dxa"/>
            <w:tcBorders>
              <w:top w:val="single" w:sz="4" w:space="0" w:color="auto"/>
            </w:tcBorders>
          </w:tcPr>
          <w:p w14:paraId="4877F7A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(5)</w:t>
            </w:r>
          </w:p>
        </w:tc>
        <w:tc>
          <w:tcPr>
            <w:tcW w:w="1236" w:type="dxa"/>
            <w:tcBorders>
              <w:top w:val="single" w:sz="4" w:space="0" w:color="auto"/>
            </w:tcBorders>
          </w:tcPr>
          <w:p w14:paraId="3D65CCD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(6)</w:t>
            </w:r>
          </w:p>
        </w:tc>
        <w:tc>
          <w:tcPr>
            <w:tcW w:w="1236" w:type="dxa"/>
            <w:tcBorders>
              <w:top w:val="single" w:sz="4" w:space="0" w:color="auto"/>
            </w:tcBorders>
          </w:tcPr>
          <w:p w14:paraId="05702CE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(7)</w:t>
            </w:r>
          </w:p>
        </w:tc>
        <w:tc>
          <w:tcPr>
            <w:tcW w:w="1236" w:type="dxa"/>
            <w:tcBorders>
              <w:top w:val="single" w:sz="4" w:space="0" w:color="auto"/>
            </w:tcBorders>
          </w:tcPr>
          <w:p w14:paraId="3B77306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(8)</w:t>
            </w:r>
          </w:p>
        </w:tc>
        <w:tc>
          <w:tcPr>
            <w:tcW w:w="1236" w:type="dxa"/>
            <w:tcBorders>
              <w:top w:val="single" w:sz="4" w:space="0" w:color="auto"/>
            </w:tcBorders>
          </w:tcPr>
          <w:p w14:paraId="66887F69"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(9)</w:t>
            </w:r>
          </w:p>
        </w:tc>
        <w:tc>
          <w:tcPr>
            <w:tcW w:w="1194" w:type="dxa"/>
            <w:tcBorders>
              <w:top w:val="single" w:sz="4" w:space="0" w:color="auto"/>
            </w:tcBorders>
          </w:tcPr>
          <w:p w14:paraId="1D8CCE7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(10)</w:t>
            </w:r>
          </w:p>
        </w:tc>
      </w:tr>
      <w:tr w:rsidR="009E1D45" w:rsidRPr="000E0BBF" w14:paraId="062CA31B" w14:textId="77777777" w:rsidTr="001019DE">
        <w:trPr>
          <w:trHeight w:val="1153"/>
        </w:trPr>
        <w:tc>
          <w:tcPr>
            <w:tcW w:w="1843" w:type="dxa"/>
          </w:tcPr>
          <w:p w14:paraId="7ED88D5A" w14:textId="77777777" w:rsidR="009E1D45" w:rsidRPr="000E0BBF" w:rsidRDefault="009E1D45" w:rsidP="001019DE">
            <w:pPr>
              <w:jc w:val="center"/>
              <w:rPr>
                <w:rFonts w:ascii="Times New Roman" w:hAnsi="Times New Roman" w:cs="Times New Roman"/>
              </w:rPr>
            </w:pPr>
          </w:p>
        </w:tc>
        <w:tc>
          <w:tcPr>
            <w:tcW w:w="1236" w:type="dxa"/>
            <w:tcBorders>
              <w:bottom w:val="single" w:sz="4" w:space="0" w:color="auto"/>
            </w:tcBorders>
          </w:tcPr>
          <w:p w14:paraId="54B3A2B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Base Model</w:t>
            </w:r>
          </w:p>
        </w:tc>
        <w:tc>
          <w:tcPr>
            <w:tcW w:w="1236" w:type="dxa"/>
            <w:tcBorders>
              <w:bottom w:val="single" w:sz="4" w:space="0" w:color="auto"/>
            </w:tcBorders>
          </w:tcPr>
          <w:p w14:paraId="0A762B6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Lag of Per Pupil Transfers</w:t>
            </w:r>
          </w:p>
        </w:tc>
        <w:tc>
          <w:tcPr>
            <w:tcW w:w="1283" w:type="dxa"/>
            <w:tcBorders>
              <w:bottom w:val="single" w:sz="4" w:space="0" w:color="auto"/>
            </w:tcBorders>
          </w:tcPr>
          <w:p w14:paraId="726C285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Poisson Regression</w:t>
            </w:r>
          </w:p>
        </w:tc>
        <w:tc>
          <w:tcPr>
            <w:tcW w:w="1243" w:type="dxa"/>
            <w:tcBorders>
              <w:bottom w:val="single" w:sz="4" w:space="0" w:color="auto"/>
            </w:tcBorders>
          </w:tcPr>
          <w:p w14:paraId="3A53AF1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Interact with Demeaned Covariates</w:t>
            </w:r>
          </w:p>
        </w:tc>
        <w:tc>
          <w:tcPr>
            <w:tcW w:w="1236" w:type="dxa"/>
            <w:tcBorders>
              <w:bottom w:val="single" w:sz="4" w:space="0" w:color="auto"/>
            </w:tcBorders>
          </w:tcPr>
          <w:p w14:paraId="37704B49"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Binary Treatment</w:t>
            </w:r>
          </w:p>
        </w:tc>
        <w:tc>
          <w:tcPr>
            <w:tcW w:w="1236" w:type="dxa"/>
            <w:tcBorders>
              <w:bottom w:val="single" w:sz="4" w:space="0" w:color="auto"/>
            </w:tcBorders>
          </w:tcPr>
          <w:p w14:paraId="6A05121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TWFE</w:t>
            </w:r>
          </w:p>
        </w:tc>
        <w:tc>
          <w:tcPr>
            <w:tcW w:w="1236" w:type="dxa"/>
            <w:tcBorders>
              <w:bottom w:val="single" w:sz="4" w:space="0" w:color="auto"/>
            </w:tcBorders>
          </w:tcPr>
          <w:p w14:paraId="5F9530F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Balanced Panel</w:t>
            </w:r>
          </w:p>
        </w:tc>
        <w:tc>
          <w:tcPr>
            <w:tcW w:w="1236" w:type="dxa"/>
            <w:tcBorders>
              <w:bottom w:val="single" w:sz="4" w:space="0" w:color="auto"/>
            </w:tcBorders>
          </w:tcPr>
          <w:p w14:paraId="7984375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Cengiz et al. (2019) Stacked</w:t>
            </w:r>
          </w:p>
        </w:tc>
        <w:tc>
          <w:tcPr>
            <w:tcW w:w="1236" w:type="dxa"/>
            <w:tcBorders>
              <w:bottom w:val="single" w:sz="4" w:space="0" w:color="auto"/>
            </w:tcBorders>
          </w:tcPr>
          <w:p w14:paraId="604AF21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CH WAS Estimator</w:t>
            </w:r>
          </w:p>
        </w:tc>
        <w:tc>
          <w:tcPr>
            <w:tcW w:w="1194" w:type="dxa"/>
            <w:tcBorders>
              <w:bottom w:val="single" w:sz="4" w:space="0" w:color="auto"/>
            </w:tcBorders>
          </w:tcPr>
          <w:p w14:paraId="3637650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SDID with Binary Treatment</w:t>
            </w:r>
          </w:p>
        </w:tc>
      </w:tr>
      <w:tr w:rsidR="009E1D45" w:rsidRPr="000E0BBF" w14:paraId="2346F8A3" w14:textId="77777777" w:rsidTr="001019DE">
        <w:trPr>
          <w:trHeight w:val="271"/>
        </w:trPr>
        <w:tc>
          <w:tcPr>
            <w:tcW w:w="1843" w:type="dxa"/>
          </w:tcPr>
          <w:p w14:paraId="7979EE30"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Dosage</w:t>
            </w:r>
          </w:p>
        </w:tc>
        <w:tc>
          <w:tcPr>
            <w:tcW w:w="1236" w:type="dxa"/>
            <w:tcBorders>
              <w:top w:val="single" w:sz="4" w:space="0" w:color="auto"/>
            </w:tcBorders>
          </w:tcPr>
          <w:p w14:paraId="55B3AE28"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194.884</w:t>
            </w:r>
            <w:r w:rsidRPr="000E0BBF">
              <w:rPr>
                <w:rFonts w:ascii="Times New Roman" w:hAnsi="Times New Roman" w:cs="Times New Roman"/>
                <w:kern w:val="0"/>
                <w:vertAlign w:val="superscript"/>
              </w:rPr>
              <w:t>***</w:t>
            </w:r>
          </w:p>
        </w:tc>
        <w:tc>
          <w:tcPr>
            <w:tcW w:w="1236" w:type="dxa"/>
            <w:tcBorders>
              <w:top w:val="single" w:sz="4" w:space="0" w:color="auto"/>
            </w:tcBorders>
          </w:tcPr>
          <w:p w14:paraId="692D24F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69.957</w:t>
            </w:r>
            <w:r w:rsidRPr="000E0BBF">
              <w:rPr>
                <w:rFonts w:ascii="Times New Roman" w:hAnsi="Times New Roman" w:cs="Times New Roman"/>
                <w:kern w:val="0"/>
                <w:vertAlign w:val="superscript"/>
              </w:rPr>
              <w:t>*</w:t>
            </w:r>
          </w:p>
        </w:tc>
        <w:tc>
          <w:tcPr>
            <w:tcW w:w="1283" w:type="dxa"/>
            <w:tcBorders>
              <w:top w:val="single" w:sz="4" w:space="0" w:color="auto"/>
            </w:tcBorders>
          </w:tcPr>
          <w:p w14:paraId="03F13D2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130.828</w:t>
            </w:r>
            <w:r w:rsidRPr="000E0BBF">
              <w:rPr>
                <w:rFonts w:ascii="Times New Roman" w:hAnsi="Times New Roman" w:cs="Times New Roman"/>
                <w:kern w:val="0"/>
                <w:vertAlign w:val="superscript"/>
              </w:rPr>
              <w:t>***</w:t>
            </w:r>
          </w:p>
        </w:tc>
        <w:tc>
          <w:tcPr>
            <w:tcW w:w="1243" w:type="dxa"/>
            <w:tcBorders>
              <w:top w:val="single" w:sz="4" w:space="0" w:color="auto"/>
            </w:tcBorders>
          </w:tcPr>
          <w:p w14:paraId="58C2E37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227.703</w:t>
            </w:r>
            <w:r w:rsidRPr="000E0BBF">
              <w:rPr>
                <w:rFonts w:ascii="Times New Roman" w:hAnsi="Times New Roman" w:cs="Times New Roman"/>
                <w:kern w:val="0"/>
                <w:vertAlign w:val="superscript"/>
              </w:rPr>
              <w:t>***</w:t>
            </w:r>
          </w:p>
        </w:tc>
        <w:tc>
          <w:tcPr>
            <w:tcW w:w="1236" w:type="dxa"/>
            <w:tcBorders>
              <w:top w:val="single" w:sz="4" w:space="0" w:color="auto"/>
            </w:tcBorders>
          </w:tcPr>
          <w:p w14:paraId="479C58B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98.861</w:t>
            </w:r>
            <w:r w:rsidRPr="000E0BBF">
              <w:rPr>
                <w:rFonts w:ascii="Times New Roman" w:hAnsi="Times New Roman" w:cs="Times New Roman"/>
                <w:kern w:val="0"/>
                <w:vertAlign w:val="superscript"/>
              </w:rPr>
              <w:t>*</w:t>
            </w:r>
          </w:p>
        </w:tc>
        <w:tc>
          <w:tcPr>
            <w:tcW w:w="1236" w:type="dxa"/>
            <w:tcBorders>
              <w:top w:val="single" w:sz="4" w:space="0" w:color="auto"/>
            </w:tcBorders>
          </w:tcPr>
          <w:p w14:paraId="540354B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160.437</w:t>
            </w:r>
            <w:r w:rsidRPr="000E0BBF">
              <w:rPr>
                <w:rFonts w:ascii="Times New Roman" w:hAnsi="Times New Roman" w:cs="Times New Roman"/>
                <w:kern w:val="0"/>
                <w:vertAlign w:val="superscript"/>
              </w:rPr>
              <w:t>**</w:t>
            </w:r>
          </w:p>
        </w:tc>
        <w:tc>
          <w:tcPr>
            <w:tcW w:w="1236" w:type="dxa"/>
            <w:tcBorders>
              <w:top w:val="single" w:sz="4" w:space="0" w:color="auto"/>
            </w:tcBorders>
          </w:tcPr>
          <w:p w14:paraId="1ED4F4B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182.018</w:t>
            </w:r>
            <w:r w:rsidRPr="000E0BBF">
              <w:rPr>
                <w:rFonts w:ascii="Times New Roman" w:hAnsi="Times New Roman" w:cs="Times New Roman"/>
                <w:kern w:val="0"/>
                <w:vertAlign w:val="superscript"/>
              </w:rPr>
              <w:t>*</w:t>
            </w:r>
          </w:p>
        </w:tc>
        <w:tc>
          <w:tcPr>
            <w:tcW w:w="1236" w:type="dxa"/>
            <w:tcBorders>
              <w:top w:val="single" w:sz="4" w:space="0" w:color="auto"/>
            </w:tcBorders>
          </w:tcPr>
          <w:p w14:paraId="6ABC4E2B"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177.067</w:t>
            </w:r>
            <w:r w:rsidRPr="000E0BBF">
              <w:rPr>
                <w:rFonts w:ascii="Times New Roman" w:hAnsi="Times New Roman" w:cs="Times New Roman"/>
                <w:kern w:val="0"/>
                <w:vertAlign w:val="superscript"/>
              </w:rPr>
              <w:t>**</w:t>
            </w:r>
          </w:p>
        </w:tc>
        <w:tc>
          <w:tcPr>
            <w:tcW w:w="1236" w:type="dxa"/>
            <w:tcBorders>
              <w:top w:val="single" w:sz="4" w:space="0" w:color="auto"/>
            </w:tcBorders>
          </w:tcPr>
          <w:p w14:paraId="550FAAF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129.517</w:t>
            </w:r>
            <w:r w:rsidRPr="000E0BBF">
              <w:rPr>
                <w:rFonts w:ascii="Times New Roman" w:hAnsi="Times New Roman" w:cs="Times New Roman"/>
                <w:kern w:val="0"/>
                <w:vertAlign w:val="superscript"/>
              </w:rPr>
              <w:t>*</w:t>
            </w:r>
          </w:p>
        </w:tc>
        <w:tc>
          <w:tcPr>
            <w:tcW w:w="1194" w:type="dxa"/>
            <w:tcBorders>
              <w:top w:val="single" w:sz="4" w:space="0" w:color="auto"/>
            </w:tcBorders>
          </w:tcPr>
          <w:p w14:paraId="551F0D1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45.911</w:t>
            </w:r>
          </w:p>
        </w:tc>
      </w:tr>
      <w:tr w:rsidR="009E1D45" w:rsidRPr="000E0BBF" w14:paraId="27009039" w14:textId="77777777" w:rsidTr="001019DE">
        <w:trPr>
          <w:trHeight w:val="271"/>
        </w:trPr>
        <w:tc>
          <w:tcPr>
            <w:tcW w:w="1843" w:type="dxa"/>
            <w:tcBorders>
              <w:bottom w:val="single" w:sz="4" w:space="0" w:color="auto"/>
            </w:tcBorders>
          </w:tcPr>
          <w:p w14:paraId="74BD5CA7" w14:textId="77777777" w:rsidR="009E1D45" w:rsidRPr="000E0BBF" w:rsidRDefault="009E1D45" w:rsidP="001019DE">
            <w:pPr>
              <w:jc w:val="center"/>
              <w:rPr>
                <w:rFonts w:ascii="Times New Roman" w:hAnsi="Times New Roman" w:cs="Times New Roman"/>
              </w:rPr>
            </w:pPr>
          </w:p>
        </w:tc>
        <w:tc>
          <w:tcPr>
            <w:tcW w:w="1236" w:type="dxa"/>
            <w:tcBorders>
              <w:bottom w:val="single" w:sz="4" w:space="0" w:color="auto"/>
            </w:tcBorders>
          </w:tcPr>
          <w:p w14:paraId="1F9871E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(69.937)</w:t>
            </w:r>
          </w:p>
        </w:tc>
        <w:tc>
          <w:tcPr>
            <w:tcW w:w="1236" w:type="dxa"/>
            <w:tcBorders>
              <w:bottom w:val="single" w:sz="4" w:space="0" w:color="auto"/>
            </w:tcBorders>
          </w:tcPr>
          <w:p w14:paraId="3656485E"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(38.866)</w:t>
            </w:r>
          </w:p>
        </w:tc>
        <w:tc>
          <w:tcPr>
            <w:tcW w:w="1283" w:type="dxa"/>
            <w:tcBorders>
              <w:bottom w:val="single" w:sz="4" w:space="0" w:color="auto"/>
            </w:tcBorders>
          </w:tcPr>
          <w:p w14:paraId="2723006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(48.500)</w:t>
            </w:r>
          </w:p>
        </w:tc>
        <w:tc>
          <w:tcPr>
            <w:tcW w:w="1243" w:type="dxa"/>
            <w:tcBorders>
              <w:bottom w:val="single" w:sz="4" w:space="0" w:color="auto"/>
            </w:tcBorders>
          </w:tcPr>
          <w:p w14:paraId="04D29F5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(60.556)</w:t>
            </w:r>
          </w:p>
        </w:tc>
        <w:tc>
          <w:tcPr>
            <w:tcW w:w="1236" w:type="dxa"/>
            <w:tcBorders>
              <w:bottom w:val="single" w:sz="4" w:space="0" w:color="auto"/>
            </w:tcBorders>
          </w:tcPr>
          <w:p w14:paraId="1F36DFF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(51.084)</w:t>
            </w:r>
          </w:p>
        </w:tc>
        <w:tc>
          <w:tcPr>
            <w:tcW w:w="1236" w:type="dxa"/>
            <w:tcBorders>
              <w:bottom w:val="single" w:sz="4" w:space="0" w:color="auto"/>
            </w:tcBorders>
          </w:tcPr>
          <w:p w14:paraId="173AABAC"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(66.186)</w:t>
            </w:r>
          </w:p>
        </w:tc>
        <w:tc>
          <w:tcPr>
            <w:tcW w:w="1236" w:type="dxa"/>
            <w:tcBorders>
              <w:bottom w:val="single" w:sz="4" w:space="0" w:color="auto"/>
            </w:tcBorders>
          </w:tcPr>
          <w:p w14:paraId="40D8AE0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(91.696)</w:t>
            </w:r>
          </w:p>
        </w:tc>
        <w:tc>
          <w:tcPr>
            <w:tcW w:w="1236" w:type="dxa"/>
            <w:tcBorders>
              <w:bottom w:val="single" w:sz="4" w:space="0" w:color="auto"/>
            </w:tcBorders>
          </w:tcPr>
          <w:p w14:paraId="5398A2B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(69.079)</w:t>
            </w:r>
          </w:p>
        </w:tc>
        <w:tc>
          <w:tcPr>
            <w:tcW w:w="1236" w:type="dxa"/>
            <w:tcBorders>
              <w:bottom w:val="single" w:sz="4" w:space="0" w:color="auto"/>
            </w:tcBorders>
          </w:tcPr>
          <w:p w14:paraId="21A67F4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(70.352)</w:t>
            </w:r>
          </w:p>
        </w:tc>
        <w:tc>
          <w:tcPr>
            <w:tcW w:w="1194" w:type="dxa"/>
            <w:tcBorders>
              <w:bottom w:val="single" w:sz="4" w:space="0" w:color="auto"/>
            </w:tcBorders>
          </w:tcPr>
          <w:p w14:paraId="0B6E716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(87.325)</w:t>
            </w:r>
          </w:p>
        </w:tc>
      </w:tr>
      <w:tr w:rsidR="009E1D45" w:rsidRPr="000E0BBF" w14:paraId="5D5F8CA1" w14:textId="77777777" w:rsidTr="001019DE">
        <w:trPr>
          <w:trHeight w:val="90"/>
        </w:trPr>
        <w:tc>
          <w:tcPr>
            <w:tcW w:w="1843" w:type="dxa"/>
            <w:tcBorders>
              <w:top w:val="single" w:sz="4" w:space="0" w:color="auto"/>
            </w:tcBorders>
          </w:tcPr>
          <w:p w14:paraId="5BA9A975"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Functional Form</w:t>
            </w:r>
          </w:p>
        </w:tc>
        <w:tc>
          <w:tcPr>
            <w:tcW w:w="1236" w:type="dxa"/>
            <w:tcBorders>
              <w:top w:val="single" w:sz="4" w:space="0" w:color="auto"/>
            </w:tcBorders>
          </w:tcPr>
          <w:p w14:paraId="16D6C3A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481D72F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83" w:type="dxa"/>
            <w:tcBorders>
              <w:top w:val="single" w:sz="4" w:space="0" w:color="auto"/>
            </w:tcBorders>
          </w:tcPr>
          <w:p w14:paraId="2CD0C45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43" w:type="dxa"/>
            <w:tcBorders>
              <w:top w:val="single" w:sz="4" w:space="0" w:color="auto"/>
            </w:tcBorders>
          </w:tcPr>
          <w:p w14:paraId="6008866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42183C7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N/A</w:t>
            </w:r>
          </w:p>
        </w:tc>
        <w:tc>
          <w:tcPr>
            <w:tcW w:w="1236" w:type="dxa"/>
            <w:tcBorders>
              <w:top w:val="single" w:sz="4" w:space="0" w:color="auto"/>
            </w:tcBorders>
          </w:tcPr>
          <w:p w14:paraId="36D4530F"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0A83384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6712966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236" w:type="dxa"/>
            <w:tcBorders>
              <w:top w:val="single" w:sz="4" w:space="0" w:color="auto"/>
            </w:tcBorders>
          </w:tcPr>
          <w:p w14:paraId="4F2066AD"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Linear</w:t>
            </w:r>
          </w:p>
        </w:tc>
        <w:tc>
          <w:tcPr>
            <w:tcW w:w="1194" w:type="dxa"/>
            <w:tcBorders>
              <w:top w:val="single" w:sz="4" w:space="0" w:color="auto"/>
            </w:tcBorders>
          </w:tcPr>
          <w:p w14:paraId="290FC75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N/A</w:t>
            </w:r>
          </w:p>
        </w:tc>
      </w:tr>
      <w:tr w:rsidR="009E1D45" w:rsidRPr="000E0BBF" w14:paraId="0153BAE9" w14:textId="77777777" w:rsidTr="001019DE">
        <w:trPr>
          <w:trHeight w:val="271"/>
        </w:trPr>
        <w:tc>
          <w:tcPr>
            <w:tcW w:w="1843" w:type="dxa"/>
            <w:tcBorders>
              <w:bottom w:val="single" w:sz="4" w:space="0" w:color="auto"/>
            </w:tcBorders>
          </w:tcPr>
          <w:p w14:paraId="35A2DA86"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Observations</w:t>
            </w:r>
          </w:p>
        </w:tc>
        <w:tc>
          <w:tcPr>
            <w:tcW w:w="1236" w:type="dxa"/>
            <w:tcBorders>
              <w:bottom w:val="single" w:sz="4" w:space="0" w:color="auto"/>
            </w:tcBorders>
          </w:tcPr>
          <w:p w14:paraId="43A61EF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830</w:t>
            </w:r>
          </w:p>
        </w:tc>
        <w:tc>
          <w:tcPr>
            <w:tcW w:w="1236" w:type="dxa"/>
            <w:tcBorders>
              <w:bottom w:val="single" w:sz="4" w:space="0" w:color="auto"/>
            </w:tcBorders>
          </w:tcPr>
          <w:p w14:paraId="56FE02B4"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717</w:t>
            </w:r>
          </w:p>
        </w:tc>
        <w:tc>
          <w:tcPr>
            <w:tcW w:w="1283" w:type="dxa"/>
            <w:tcBorders>
              <w:bottom w:val="single" w:sz="4" w:space="0" w:color="auto"/>
            </w:tcBorders>
          </w:tcPr>
          <w:p w14:paraId="69BA9698"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830</w:t>
            </w:r>
          </w:p>
        </w:tc>
        <w:tc>
          <w:tcPr>
            <w:tcW w:w="1243" w:type="dxa"/>
            <w:tcBorders>
              <w:bottom w:val="single" w:sz="4" w:space="0" w:color="auto"/>
            </w:tcBorders>
          </w:tcPr>
          <w:p w14:paraId="363031F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830</w:t>
            </w:r>
          </w:p>
        </w:tc>
        <w:tc>
          <w:tcPr>
            <w:tcW w:w="1236" w:type="dxa"/>
            <w:tcBorders>
              <w:bottom w:val="single" w:sz="4" w:space="0" w:color="auto"/>
            </w:tcBorders>
          </w:tcPr>
          <w:p w14:paraId="71F8B387"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830</w:t>
            </w:r>
          </w:p>
        </w:tc>
        <w:tc>
          <w:tcPr>
            <w:tcW w:w="1236" w:type="dxa"/>
            <w:tcBorders>
              <w:bottom w:val="single" w:sz="4" w:space="0" w:color="auto"/>
            </w:tcBorders>
          </w:tcPr>
          <w:p w14:paraId="6D0C3F19"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830</w:t>
            </w:r>
          </w:p>
        </w:tc>
        <w:tc>
          <w:tcPr>
            <w:tcW w:w="1236" w:type="dxa"/>
            <w:tcBorders>
              <w:bottom w:val="single" w:sz="4" w:space="0" w:color="auto"/>
            </w:tcBorders>
          </w:tcPr>
          <w:p w14:paraId="09DD8212"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rPr>
              <w:t>594</w:t>
            </w:r>
          </w:p>
        </w:tc>
        <w:tc>
          <w:tcPr>
            <w:tcW w:w="1236" w:type="dxa"/>
            <w:tcBorders>
              <w:bottom w:val="single" w:sz="4" w:space="0" w:color="auto"/>
            </w:tcBorders>
          </w:tcPr>
          <w:p w14:paraId="11D393E1"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5352</w:t>
            </w:r>
          </w:p>
        </w:tc>
        <w:tc>
          <w:tcPr>
            <w:tcW w:w="1236" w:type="dxa"/>
            <w:tcBorders>
              <w:bottom w:val="single" w:sz="4" w:space="0" w:color="auto"/>
            </w:tcBorders>
          </w:tcPr>
          <w:p w14:paraId="7CDCE013"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560</w:t>
            </w:r>
          </w:p>
        </w:tc>
        <w:tc>
          <w:tcPr>
            <w:tcW w:w="1194" w:type="dxa"/>
            <w:tcBorders>
              <w:bottom w:val="single" w:sz="4" w:space="0" w:color="auto"/>
            </w:tcBorders>
          </w:tcPr>
          <w:p w14:paraId="408D21BA" w14:textId="77777777" w:rsidR="009E1D45" w:rsidRPr="000E0BBF" w:rsidRDefault="009E1D45" w:rsidP="001019DE">
            <w:pPr>
              <w:jc w:val="center"/>
              <w:rPr>
                <w:rFonts w:ascii="Times New Roman" w:hAnsi="Times New Roman" w:cs="Times New Roman"/>
              </w:rPr>
            </w:pPr>
            <w:r w:rsidRPr="000E0BBF">
              <w:rPr>
                <w:rFonts w:ascii="Times New Roman" w:hAnsi="Times New Roman" w:cs="Times New Roman"/>
                <w:kern w:val="0"/>
              </w:rPr>
              <w:t>594</w:t>
            </w:r>
          </w:p>
        </w:tc>
      </w:tr>
    </w:tbl>
    <w:p w14:paraId="04362410" w14:textId="77777777" w:rsidR="009E1D45" w:rsidRPr="000E0BBF"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0E0BBF">
        <w:rPr>
          <w:rFonts w:ascii="Times New Roman" w:hAnsi="Times New Roman" w:cs="Times New Roman"/>
          <w:i/>
          <w:iCs/>
          <w:sz w:val="20"/>
          <w:szCs w:val="20"/>
        </w:rPr>
        <w:t xml:space="preserve">Notes: Robustness checks of average causal response estimates from Equation (1) aggregated using the weighted average of estimates in Equation (2). Dosage represents a continuous measure of the increase in the millage of the special education property tax in each ISD. All standard errors clustered at the ISD-level.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0.1,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0.05,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0.01</w:t>
      </w:r>
    </w:p>
    <w:p w14:paraId="2C121BC2" w14:textId="77777777" w:rsidR="009E1D45" w:rsidRPr="000E0BBF" w:rsidRDefault="009E1D45" w:rsidP="009E1D45">
      <w:pPr>
        <w:jc w:val="center"/>
        <w:rPr>
          <w:rFonts w:ascii="Times New Roman" w:hAnsi="Times New Roman" w:cs="Times New Roman"/>
          <w:b/>
          <w:bCs/>
        </w:rPr>
      </w:pPr>
    </w:p>
    <w:p w14:paraId="4DBFAB51" w14:textId="77777777" w:rsidR="009E1D45" w:rsidRPr="000E0BBF" w:rsidRDefault="009E1D45" w:rsidP="009E1D45">
      <w:pPr>
        <w:rPr>
          <w:rFonts w:ascii="Times New Roman" w:hAnsi="Times New Roman" w:cs="Times New Roman"/>
        </w:rPr>
      </w:pPr>
    </w:p>
    <w:p w14:paraId="4D1C2FB5" w14:textId="77777777" w:rsidR="009E1D45" w:rsidRPr="000E0BBF" w:rsidRDefault="009E1D45" w:rsidP="009E1D45">
      <w:pPr>
        <w:rPr>
          <w:rFonts w:ascii="Times New Roman" w:hAnsi="Times New Roman" w:cs="Times New Roman"/>
        </w:rPr>
      </w:pPr>
    </w:p>
    <w:p w14:paraId="4D5F1CDA" w14:textId="77777777" w:rsidR="009E1D45" w:rsidRPr="000E0BBF" w:rsidRDefault="009E1D45" w:rsidP="009E1D45">
      <w:pPr>
        <w:rPr>
          <w:rFonts w:ascii="Times New Roman" w:hAnsi="Times New Roman" w:cs="Times New Roman"/>
        </w:rPr>
      </w:pPr>
    </w:p>
    <w:p w14:paraId="54E2B8D3" w14:textId="77777777" w:rsidR="009E1D45" w:rsidRPr="000E0BBF" w:rsidRDefault="009E1D45" w:rsidP="009E1D45">
      <w:pPr>
        <w:rPr>
          <w:rFonts w:ascii="Times New Roman" w:hAnsi="Times New Roman" w:cs="Times New Roman"/>
        </w:rPr>
      </w:pPr>
    </w:p>
    <w:p w14:paraId="18D96A7F" w14:textId="77777777" w:rsidR="009E1D45" w:rsidRPr="000E0BBF" w:rsidRDefault="009E1D45" w:rsidP="009E1D45">
      <w:pPr>
        <w:rPr>
          <w:rFonts w:ascii="Times New Roman" w:hAnsi="Times New Roman" w:cs="Times New Roman"/>
        </w:rPr>
      </w:pPr>
    </w:p>
    <w:p w14:paraId="67D73691" w14:textId="77777777" w:rsidR="009E1D45" w:rsidRPr="000E0BBF" w:rsidRDefault="009E1D45" w:rsidP="009E1D45">
      <w:pPr>
        <w:rPr>
          <w:rFonts w:ascii="Times New Roman" w:hAnsi="Times New Roman" w:cs="Times New Roman"/>
        </w:rPr>
      </w:pPr>
    </w:p>
    <w:p w14:paraId="46554DDD" w14:textId="77777777" w:rsidR="009E1D45" w:rsidRPr="000E0BBF" w:rsidRDefault="009E1D45" w:rsidP="009E1D45">
      <w:pPr>
        <w:rPr>
          <w:rFonts w:ascii="Times New Roman" w:hAnsi="Times New Roman" w:cs="Times New Roman"/>
        </w:rPr>
      </w:pPr>
    </w:p>
    <w:p w14:paraId="5198F46C" w14:textId="77777777" w:rsidR="009E1D45" w:rsidRPr="000E0BBF" w:rsidRDefault="009E1D45" w:rsidP="009E1D45">
      <w:pPr>
        <w:rPr>
          <w:rFonts w:ascii="Times New Roman" w:hAnsi="Times New Roman" w:cs="Times New Roman"/>
        </w:rPr>
      </w:pPr>
    </w:p>
    <w:p w14:paraId="73E5A49B" w14:textId="77777777" w:rsidR="009E1D45" w:rsidRPr="000E0BBF" w:rsidRDefault="009E1D45" w:rsidP="009E1D45">
      <w:pPr>
        <w:rPr>
          <w:rFonts w:ascii="Times New Roman" w:hAnsi="Times New Roman" w:cs="Times New Roman"/>
        </w:rPr>
      </w:pPr>
    </w:p>
    <w:p w14:paraId="4BE8B230" w14:textId="77777777" w:rsidR="009E1D45" w:rsidRPr="000E0BBF" w:rsidRDefault="009E1D45" w:rsidP="009E1D45">
      <w:pPr>
        <w:rPr>
          <w:rFonts w:ascii="Times New Roman" w:hAnsi="Times New Roman" w:cs="Times New Roman"/>
        </w:rPr>
      </w:pPr>
    </w:p>
    <w:p w14:paraId="3908BA39" w14:textId="77777777" w:rsidR="009E1D45" w:rsidRPr="000E0BBF" w:rsidRDefault="009E1D45" w:rsidP="009E1D45">
      <w:pPr>
        <w:rPr>
          <w:rFonts w:ascii="Times New Roman" w:hAnsi="Times New Roman" w:cs="Times New Roman"/>
        </w:rPr>
        <w:sectPr w:rsidR="009E1D45" w:rsidRPr="000E0BBF" w:rsidSect="009E1D45">
          <w:pgSz w:w="15840" w:h="12240" w:orient="landscape"/>
          <w:pgMar w:top="1440" w:right="1440" w:bottom="1440" w:left="1440" w:header="720" w:footer="720" w:gutter="0"/>
          <w:cols w:space="720"/>
          <w:docGrid w:linePitch="360"/>
        </w:sectPr>
      </w:pPr>
    </w:p>
    <w:p w14:paraId="1EDCEDEF" w14:textId="77777777" w:rsidR="009E1D45" w:rsidRPr="00667704" w:rsidRDefault="009E1D45" w:rsidP="009E1D45">
      <w:pPr>
        <w:jc w:val="center"/>
        <w:rPr>
          <w:rFonts w:ascii="Times New Roman" w:hAnsi="Times New Roman" w:cs="Times New Roman"/>
          <w:b/>
          <w:bCs/>
        </w:rPr>
      </w:pPr>
      <w:r w:rsidRPr="00667704">
        <w:rPr>
          <w:rFonts w:ascii="Times New Roman" w:hAnsi="Times New Roman" w:cs="Times New Roman"/>
          <w:b/>
          <w:bCs/>
        </w:rPr>
        <w:lastRenderedPageBreak/>
        <w:t xml:space="preserve">Table </w:t>
      </w:r>
      <w:r>
        <w:rPr>
          <w:rFonts w:ascii="Times New Roman" w:hAnsi="Times New Roman" w:cs="Times New Roman"/>
          <w:b/>
          <w:bCs/>
        </w:rPr>
        <w:t>A5</w:t>
      </w:r>
      <w:r w:rsidRPr="00667704">
        <w:rPr>
          <w:rFonts w:ascii="Times New Roman" w:hAnsi="Times New Roman" w:cs="Times New Roman"/>
          <w:b/>
          <w:bCs/>
        </w:rPr>
        <w:t xml:space="preserve">: Average Causal Response of </w:t>
      </w:r>
      <w:r>
        <w:rPr>
          <w:rFonts w:ascii="Times New Roman" w:hAnsi="Times New Roman" w:cs="Times New Roman"/>
          <w:b/>
          <w:bCs/>
        </w:rPr>
        <w:t xml:space="preserve">ISD-Level </w:t>
      </w:r>
      <w:r w:rsidRPr="00667704">
        <w:rPr>
          <w:rFonts w:ascii="Times New Roman" w:hAnsi="Times New Roman" w:cs="Times New Roman"/>
          <w:b/>
          <w:bCs/>
        </w:rPr>
        <w:t xml:space="preserve">Special Education </w:t>
      </w:r>
      <w:r>
        <w:rPr>
          <w:rFonts w:ascii="Times New Roman" w:hAnsi="Times New Roman" w:cs="Times New Roman"/>
          <w:b/>
          <w:bCs/>
        </w:rPr>
        <w:t xml:space="preserve">Expenditures </w:t>
      </w:r>
      <w:r w:rsidRPr="00667704">
        <w:rPr>
          <w:rFonts w:ascii="Times New Roman" w:hAnsi="Times New Roman" w:cs="Times New Roman"/>
          <w:b/>
          <w:bCs/>
        </w:rPr>
        <w:t xml:space="preserve">following </w:t>
      </w:r>
      <w:r>
        <w:rPr>
          <w:rFonts w:ascii="Times New Roman" w:hAnsi="Times New Roman" w:cs="Times New Roman"/>
          <w:b/>
          <w:bCs/>
        </w:rPr>
        <w:t>Earmarked Property Tax</w:t>
      </w:r>
      <w:r w:rsidRPr="00667704">
        <w:rPr>
          <w:rFonts w:ascii="Times New Roman" w:hAnsi="Times New Roman" w:cs="Times New Roman"/>
          <w:b/>
          <w:bCs/>
        </w:rPr>
        <w:t xml:space="preserve"> Increase</w:t>
      </w:r>
      <w:r>
        <w:rPr>
          <w:rFonts w:ascii="Times New Roman" w:hAnsi="Times New Roman" w:cs="Times New Roman"/>
          <w:b/>
          <w:bCs/>
        </w:rPr>
        <w:t>, by Expenditure Type</w:t>
      </w:r>
    </w:p>
    <w:tbl>
      <w:tblPr>
        <w:tblW w:w="9700" w:type="dxa"/>
        <w:jc w:val="center"/>
        <w:tblLayout w:type="fixed"/>
        <w:tblLook w:val="0000" w:firstRow="0" w:lastRow="0" w:firstColumn="0" w:lastColumn="0" w:noHBand="0" w:noVBand="0"/>
      </w:tblPr>
      <w:tblGrid>
        <w:gridCol w:w="2402"/>
        <w:gridCol w:w="1459"/>
        <w:gridCol w:w="1460"/>
        <w:gridCol w:w="1460"/>
        <w:gridCol w:w="1459"/>
        <w:gridCol w:w="1460"/>
      </w:tblGrid>
      <w:tr w:rsidR="009E1D45" w14:paraId="0C1DCC9C" w14:textId="77777777" w:rsidTr="001019DE">
        <w:trPr>
          <w:trHeight w:val="590"/>
          <w:jc w:val="center"/>
        </w:trPr>
        <w:tc>
          <w:tcPr>
            <w:tcW w:w="2402" w:type="dxa"/>
            <w:tcBorders>
              <w:top w:val="single" w:sz="4" w:space="0" w:color="auto"/>
              <w:left w:val="nil"/>
              <w:bottom w:val="nil"/>
              <w:right w:val="nil"/>
            </w:tcBorders>
          </w:tcPr>
          <w:p w14:paraId="1CA09968"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single" w:sz="4" w:space="0" w:color="auto"/>
              <w:left w:val="nil"/>
              <w:bottom w:val="nil"/>
              <w:right w:val="nil"/>
            </w:tcBorders>
          </w:tcPr>
          <w:p w14:paraId="5829EB5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Salaries</w:t>
            </w:r>
          </w:p>
        </w:tc>
        <w:tc>
          <w:tcPr>
            <w:tcW w:w="1460" w:type="dxa"/>
            <w:tcBorders>
              <w:top w:val="single" w:sz="4" w:space="0" w:color="auto"/>
              <w:left w:val="nil"/>
              <w:bottom w:val="nil"/>
              <w:right w:val="nil"/>
            </w:tcBorders>
          </w:tcPr>
          <w:p w14:paraId="5B37650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Benefits</w:t>
            </w:r>
          </w:p>
        </w:tc>
        <w:tc>
          <w:tcPr>
            <w:tcW w:w="1460" w:type="dxa"/>
            <w:tcBorders>
              <w:top w:val="single" w:sz="4" w:space="0" w:color="auto"/>
              <w:left w:val="nil"/>
              <w:bottom w:val="nil"/>
              <w:right w:val="nil"/>
            </w:tcBorders>
          </w:tcPr>
          <w:p w14:paraId="772B2B8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Purchased Services</w:t>
            </w:r>
          </w:p>
        </w:tc>
        <w:tc>
          <w:tcPr>
            <w:tcW w:w="1459" w:type="dxa"/>
            <w:tcBorders>
              <w:top w:val="single" w:sz="4" w:space="0" w:color="auto"/>
              <w:left w:val="nil"/>
              <w:bottom w:val="nil"/>
              <w:right w:val="nil"/>
            </w:tcBorders>
          </w:tcPr>
          <w:p w14:paraId="4E32F65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Supplies</w:t>
            </w:r>
          </w:p>
        </w:tc>
        <w:tc>
          <w:tcPr>
            <w:tcW w:w="1460" w:type="dxa"/>
            <w:tcBorders>
              <w:top w:val="single" w:sz="4" w:space="0" w:color="auto"/>
              <w:left w:val="nil"/>
              <w:bottom w:val="nil"/>
              <w:right w:val="nil"/>
            </w:tcBorders>
          </w:tcPr>
          <w:p w14:paraId="14228A3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Other</w:t>
            </w:r>
          </w:p>
        </w:tc>
      </w:tr>
      <w:tr w:rsidR="009E1D45" w14:paraId="4D21FDFE" w14:textId="77777777" w:rsidTr="001019DE">
        <w:trPr>
          <w:trHeight w:val="305"/>
          <w:jc w:val="center"/>
        </w:trPr>
        <w:tc>
          <w:tcPr>
            <w:tcW w:w="2402" w:type="dxa"/>
            <w:tcBorders>
              <w:left w:val="nil"/>
              <w:bottom w:val="nil"/>
              <w:right w:val="nil"/>
            </w:tcBorders>
          </w:tcPr>
          <w:p w14:paraId="6E3F219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left w:val="nil"/>
              <w:bottom w:val="nil"/>
              <w:right w:val="nil"/>
            </w:tcBorders>
          </w:tcPr>
          <w:p w14:paraId="06F94C9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w:t>
            </w:r>
          </w:p>
        </w:tc>
        <w:tc>
          <w:tcPr>
            <w:tcW w:w="1460" w:type="dxa"/>
            <w:tcBorders>
              <w:left w:val="nil"/>
              <w:bottom w:val="nil"/>
              <w:right w:val="nil"/>
            </w:tcBorders>
          </w:tcPr>
          <w:p w14:paraId="24FB29E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w:t>
            </w:r>
          </w:p>
        </w:tc>
        <w:tc>
          <w:tcPr>
            <w:tcW w:w="1460" w:type="dxa"/>
            <w:tcBorders>
              <w:left w:val="nil"/>
              <w:bottom w:val="nil"/>
              <w:right w:val="nil"/>
            </w:tcBorders>
          </w:tcPr>
          <w:p w14:paraId="5284150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w:t>
            </w:r>
          </w:p>
        </w:tc>
        <w:tc>
          <w:tcPr>
            <w:tcW w:w="1459" w:type="dxa"/>
            <w:tcBorders>
              <w:left w:val="nil"/>
              <w:bottom w:val="nil"/>
              <w:right w:val="nil"/>
            </w:tcBorders>
          </w:tcPr>
          <w:p w14:paraId="3026B22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w:t>
            </w:r>
          </w:p>
        </w:tc>
        <w:tc>
          <w:tcPr>
            <w:tcW w:w="1460" w:type="dxa"/>
            <w:tcBorders>
              <w:left w:val="nil"/>
              <w:bottom w:val="nil"/>
              <w:right w:val="nil"/>
            </w:tcBorders>
          </w:tcPr>
          <w:p w14:paraId="578CBC5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w:t>
            </w:r>
          </w:p>
        </w:tc>
      </w:tr>
      <w:tr w:rsidR="009E1D45" w14:paraId="1F3ED867" w14:textId="77777777" w:rsidTr="001019DE">
        <w:trPr>
          <w:trHeight w:val="284"/>
          <w:jc w:val="center"/>
        </w:trPr>
        <w:tc>
          <w:tcPr>
            <w:tcW w:w="2402" w:type="dxa"/>
            <w:tcBorders>
              <w:top w:val="single" w:sz="4" w:space="0" w:color="auto"/>
              <w:left w:val="nil"/>
              <w:bottom w:val="nil"/>
              <w:right w:val="nil"/>
            </w:tcBorders>
          </w:tcPr>
          <w:p w14:paraId="2C19CF7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ACR</w:t>
            </w:r>
          </w:p>
        </w:tc>
        <w:tc>
          <w:tcPr>
            <w:tcW w:w="1459" w:type="dxa"/>
            <w:tcBorders>
              <w:top w:val="single" w:sz="4" w:space="0" w:color="auto"/>
              <w:left w:val="nil"/>
              <w:bottom w:val="nil"/>
              <w:right w:val="nil"/>
            </w:tcBorders>
          </w:tcPr>
          <w:p w14:paraId="7537F78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95.565</w:t>
            </w:r>
            <w:r>
              <w:rPr>
                <w:rFonts w:ascii="Times New Roman" w:hAnsi="Times New Roman" w:cs="Times New Roman"/>
                <w:kern w:val="0"/>
                <w:vertAlign w:val="superscript"/>
              </w:rPr>
              <w:t>**</w:t>
            </w:r>
          </w:p>
        </w:tc>
        <w:tc>
          <w:tcPr>
            <w:tcW w:w="1460" w:type="dxa"/>
            <w:tcBorders>
              <w:top w:val="single" w:sz="4" w:space="0" w:color="auto"/>
              <w:left w:val="nil"/>
              <w:bottom w:val="nil"/>
              <w:right w:val="nil"/>
            </w:tcBorders>
          </w:tcPr>
          <w:p w14:paraId="7F2072F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51.832</w:t>
            </w:r>
          </w:p>
        </w:tc>
        <w:tc>
          <w:tcPr>
            <w:tcW w:w="1460" w:type="dxa"/>
            <w:tcBorders>
              <w:top w:val="single" w:sz="4" w:space="0" w:color="auto"/>
              <w:left w:val="nil"/>
              <w:bottom w:val="nil"/>
              <w:right w:val="nil"/>
            </w:tcBorders>
          </w:tcPr>
          <w:p w14:paraId="1AE8A93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-25.013</w:t>
            </w:r>
          </w:p>
        </w:tc>
        <w:tc>
          <w:tcPr>
            <w:tcW w:w="1459" w:type="dxa"/>
            <w:tcBorders>
              <w:top w:val="single" w:sz="4" w:space="0" w:color="auto"/>
              <w:left w:val="nil"/>
              <w:bottom w:val="nil"/>
              <w:right w:val="nil"/>
            </w:tcBorders>
          </w:tcPr>
          <w:p w14:paraId="6AB11B5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-19.672</w:t>
            </w:r>
            <w:r>
              <w:rPr>
                <w:rFonts w:ascii="Times New Roman" w:hAnsi="Times New Roman" w:cs="Times New Roman"/>
                <w:kern w:val="0"/>
                <w:vertAlign w:val="superscript"/>
              </w:rPr>
              <w:t>***</w:t>
            </w:r>
          </w:p>
        </w:tc>
        <w:tc>
          <w:tcPr>
            <w:tcW w:w="1460" w:type="dxa"/>
            <w:tcBorders>
              <w:top w:val="single" w:sz="4" w:space="0" w:color="auto"/>
              <w:left w:val="nil"/>
              <w:bottom w:val="nil"/>
              <w:right w:val="nil"/>
            </w:tcBorders>
          </w:tcPr>
          <w:p w14:paraId="2773C44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8.135</w:t>
            </w:r>
          </w:p>
        </w:tc>
      </w:tr>
      <w:tr w:rsidR="009E1D45" w14:paraId="31B4152F" w14:textId="77777777" w:rsidTr="001019DE">
        <w:trPr>
          <w:trHeight w:val="305"/>
          <w:jc w:val="center"/>
        </w:trPr>
        <w:tc>
          <w:tcPr>
            <w:tcW w:w="2402" w:type="dxa"/>
            <w:tcBorders>
              <w:top w:val="nil"/>
              <w:left w:val="nil"/>
              <w:bottom w:val="nil"/>
              <w:right w:val="nil"/>
            </w:tcBorders>
          </w:tcPr>
          <w:p w14:paraId="4900A8C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3956DCF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(36.215)</w:t>
            </w:r>
          </w:p>
        </w:tc>
        <w:tc>
          <w:tcPr>
            <w:tcW w:w="1460" w:type="dxa"/>
            <w:tcBorders>
              <w:top w:val="nil"/>
              <w:left w:val="nil"/>
              <w:bottom w:val="nil"/>
              <w:right w:val="nil"/>
            </w:tcBorders>
          </w:tcPr>
          <w:p w14:paraId="5466C17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(34.915)</w:t>
            </w:r>
          </w:p>
        </w:tc>
        <w:tc>
          <w:tcPr>
            <w:tcW w:w="1460" w:type="dxa"/>
            <w:tcBorders>
              <w:top w:val="nil"/>
              <w:left w:val="nil"/>
              <w:bottom w:val="nil"/>
              <w:right w:val="nil"/>
            </w:tcBorders>
          </w:tcPr>
          <w:p w14:paraId="05181F9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(31.840)</w:t>
            </w:r>
          </w:p>
        </w:tc>
        <w:tc>
          <w:tcPr>
            <w:tcW w:w="1459" w:type="dxa"/>
            <w:tcBorders>
              <w:top w:val="nil"/>
              <w:left w:val="nil"/>
              <w:bottom w:val="nil"/>
              <w:right w:val="nil"/>
            </w:tcBorders>
          </w:tcPr>
          <w:p w14:paraId="098089E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(3.615)</w:t>
            </w:r>
          </w:p>
        </w:tc>
        <w:tc>
          <w:tcPr>
            <w:tcW w:w="1460" w:type="dxa"/>
            <w:tcBorders>
              <w:top w:val="nil"/>
              <w:left w:val="nil"/>
              <w:bottom w:val="nil"/>
              <w:right w:val="nil"/>
            </w:tcBorders>
          </w:tcPr>
          <w:p w14:paraId="2337E0B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(7.760)</w:t>
            </w:r>
          </w:p>
        </w:tc>
      </w:tr>
      <w:tr w:rsidR="009E1D45" w14:paraId="0679B816" w14:textId="77777777" w:rsidTr="001019DE">
        <w:trPr>
          <w:trHeight w:val="305"/>
          <w:jc w:val="center"/>
        </w:trPr>
        <w:tc>
          <w:tcPr>
            <w:tcW w:w="2402" w:type="dxa"/>
            <w:tcBorders>
              <w:top w:val="nil"/>
              <w:left w:val="nil"/>
              <w:bottom w:val="nil"/>
              <w:right w:val="nil"/>
            </w:tcBorders>
          </w:tcPr>
          <w:p w14:paraId="649D83F7"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Female</w:t>
            </w:r>
          </w:p>
        </w:tc>
        <w:tc>
          <w:tcPr>
            <w:tcW w:w="1459" w:type="dxa"/>
            <w:tcBorders>
              <w:top w:val="nil"/>
              <w:left w:val="nil"/>
              <w:bottom w:val="nil"/>
              <w:right w:val="nil"/>
            </w:tcBorders>
          </w:tcPr>
          <w:p w14:paraId="09DC770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-614.295</w:t>
            </w:r>
          </w:p>
        </w:tc>
        <w:tc>
          <w:tcPr>
            <w:tcW w:w="1460" w:type="dxa"/>
            <w:tcBorders>
              <w:top w:val="nil"/>
              <w:left w:val="nil"/>
              <w:bottom w:val="nil"/>
              <w:right w:val="nil"/>
            </w:tcBorders>
          </w:tcPr>
          <w:p w14:paraId="69CFB27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1435.065</w:t>
            </w:r>
          </w:p>
        </w:tc>
        <w:tc>
          <w:tcPr>
            <w:tcW w:w="1460" w:type="dxa"/>
            <w:tcBorders>
              <w:top w:val="nil"/>
              <w:left w:val="nil"/>
              <w:bottom w:val="nil"/>
              <w:right w:val="nil"/>
            </w:tcBorders>
          </w:tcPr>
          <w:p w14:paraId="5FFD83E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2025.981</w:t>
            </w:r>
            <w:r>
              <w:rPr>
                <w:rFonts w:ascii="Times New Roman" w:hAnsi="Times New Roman" w:cs="Times New Roman"/>
                <w:kern w:val="0"/>
                <w:vertAlign w:val="superscript"/>
              </w:rPr>
              <w:t>**</w:t>
            </w:r>
          </w:p>
        </w:tc>
        <w:tc>
          <w:tcPr>
            <w:tcW w:w="1459" w:type="dxa"/>
            <w:tcBorders>
              <w:top w:val="nil"/>
              <w:left w:val="nil"/>
              <w:bottom w:val="nil"/>
              <w:right w:val="nil"/>
            </w:tcBorders>
          </w:tcPr>
          <w:p w14:paraId="1BB9E92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-142.688</w:t>
            </w:r>
          </w:p>
        </w:tc>
        <w:tc>
          <w:tcPr>
            <w:tcW w:w="1460" w:type="dxa"/>
            <w:tcBorders>
              <w:top w:val="nil"/>
              <w:left w:val="nil"/>
              <w:bottom w:val="nil"/>
              <w:right w:val="nil"/>
            </w:tcBorders>
          </w:tcPr>
          <w:p w14:paraId="4631FB1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-15.887</w:t>
            </w:r>
          </w:p>
        </w:tc>
      </w:tr>
      <w:tr w:rsidR="009E1D45" w14:paraId="33D70C82" w14:textId="77777777" w:rsidTr="001019DE">
        <w:trPr>
          <w:trHeight w:val="305"/>
          <w:jc w:val="center"/>
        </w:trPr>
        <w:tc>
          <w:tcPr>
            <w:tcW w:w="2402" w:type="dxa"/>
            <w:tcBorders>
              <w:top w:val="nil"/>
              <w:left w:val="nil"/>
              <w:bottom w:val="nil"/>
              <w:right w:val="nil"/>
            </w:tcBorders>
          </w:tcPr>
          <w:p w14:paraId="0697CF9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090415D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(1555.473)</w:t>
            </w:r>
          </w:p>
        </w:tc>
        <w:tc>
          <w:tcPr>
            <w:tcW w:w="1460" w:type="dxa"/>
            <w:tcBorders>
              <w:top w:val="nil"/>
              <w:left w:val="nil"/>
              <w:bottom w:val="nil"/>
              <w:right w:val="nil"/>
            </w:tcBorders>
          </w:tcPr>
          <w:p w14:paraId="7CC6E39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(1316.235)</w:t>
            </w:r>
          </w:p>
        </w:tc>
        <w:tc>
          <w:tcPr>
            <w:tcW w:w="1460" w:type="dxa"/>
            <w:tcBorders>
              <w:top w:val="nil"/>
              <w:left w:val="nil"/>
              <w:bottom w:val="nil"/>
              <w:right w:val="nil"/>
            </w:tcBorders>
          </w:tcPr>
          <w:p w14:paraId="75154BA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(949.286)</w:t>
            </w:r>
          </w:p>
        </w:tc>
        <w:tc>
          <w:tcPr>
            <w:tcW w:w="1459" w:type="dxa"/>
            <w:tcBorders>
              <w:top w:val="nil"/>
              <w:left w:val="nil"/>
              <w:bottom w:val="nil"/>
              <w:right w:val="nil"/>
            </w:tcBorders>
          </w:tcPr>
          <w:p w14:paraId="4D0429F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(263.071)</w:t>
            </w:r>
          </w:p>
        </w:tc>
        <w:tc>
          <w:tcPr>
            <w:tcW w:w="1460" w:type="dxa"/>
            <w:tcBorders>
              <w:top w:val="nil"/>
              <w:left w:val="nil"/>
              <w:bottom w:val="nil"/>
              <w:right w:val="nil"/>
            </w:tcBorders>
          </w:tcPr>
          <w:p w14:paraId="33CBFDD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(445.426)</w:t>
            </w:r>
          </w:p>
        </w:tc>
      </w:tr>
      <w:tr w:rsidR="009E1D45" w14:paraId="5E7D9F82" w14:textId="77777777" w:rsidTr="001019DE">
        <w:trPr>
          <w:trHeight w:val="284"/>
          <w:jc w:val="center"/>
        </w:trPr>
        <w:tc>
          <w:tcPr>
            <w:tcW w:w="2402" w:type="dxa"/>
            <w:tcBorders>
              <w:top w:val="nil"/>
              <w:left w:val="nil"/>
              <w:bottom w:val="nil"/>
              <w:right w:val="nil"/>
            </w:tcBorders>
          </w:tcPr>
          <w:p w14:paraId="5C07AF6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w:t>
            </w:r>
            <w:proofErr w:type="gramStart"/>
            <w:r>
              <w:rPr>
                <w:rFonts w:ascii="Times New Roman" w:hAnsi="Times New Roman" w:cs="Times New Roman"/>
                <w:kern w:val="0"/>
              </w:rPr>
              <w:t>Non-White</w:t>
            </w:r>
            <w:proofErr w:type="gramEnd"/>
          </w:p>
        </w:tc>
        <w:tc>
          <w:tcPr>
            <w:tcW w:w="1459" w:type="dxa"/>
            <w:tcBorders>
              <w:top w:val="nil"/>
              <w:left w:val="nil"/>
              <w:bottom w:val="nil"/>
              <w:right w:val="nil"/>
            </w:tcBorders>
          </w:tcPr>
          <w:p w14:paraId="2DE16DB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-678.988</w:t>
            </w:r>
          </w:p>
        </w:tc>
        <w:tc>
          <w:tcPr>
            <w:tcW w:w="1460" w:type="dxa"/>
            <w:tcBorders>
              <w:top w:val="nil"/>
              <w:left w:val="nil"/>
              <w:bottom w:val="nil"/>
              <w:right w:val="nil"/>
            </w:tcBorders>
          </w:tcPr>
          <w:p w14:paraId="3C3A06A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-211.804</w:t>
            </w:r>
          </w:p>
        </w:tc>
        <w:tc>
          <w:tcPr>
            <w:tcW w:w="1460" w:type="dxa"/>
            <w:tcBorders>
              <w:top w:val="nil"/>
              <w:left w:val="nil"/>
              <w:bottom w:val="nil"/>
              <w:right w:val="nil"/>
            </w:tcBorders>
          </w:tcPr>
          <w:p w14:paraId="191D147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1051.058</w:t>
            </w:r>
            <w:r>
              <w:rPr>
                <w:rFonts w:ascii="Times New Roman" w:hAnsi="Times New Roman" w:cs="Times New Roman"/>
                <w:kern w:val="0"/>
                <w:vertAlign w:val="superscript"/>
              </w:rPr>
              <w:t>*</w:t>
            </w:r>
          </w:p>
        </w:tc>
        <w:tc>
          <w:tcPr>
            <w:tcW w:w="1459" w:type="dxa"/>
            <w:tcBorders>
              <w:top w:val="nil"/>
              <w:left w:val="nil"/>
              <w:bottom w:val="nil"/>
              <w:right w:val="nil"/>
            </w:tcBorders>
          </w:tcPr>
          <w:p w14:paraId="0BA7327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-108.693</w:t>
            </w:r>
          </w:p>
        </w:tc>
        <w:tc>
          <w:tcPr>
            <w:tcW w:w="1460" w:type="dxa"/>
            <w:tcBorders>
              <w:top w:val="nil"/>
              <w:left w:val="nil"/>
              <w:bottom w:val="nil"/>
              <w:right w:val="nil"/>
            </w:tcBorders>
          </w:tcPr>
          <w:p w14:paraId="28479DC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-132.793</w:t>
            </w:r>
          </w:p>
        </w:tc>
      </w:tr>
      <w:tr w:rsidR="009E1D45" w14:paraId="40996EAA" w14:textId="77777777" w:rsidTr="001019DE">
        <w:trPr>
          <w:trHeight w:val="305"/>
          <w:jc w:val="center"/>
        </w:trPr>
        <w:tc>
          <w:tcPr>
            <w:tcW w:w="2402" w:type="dxa"/>
            <w:tcBorders>
              <w:top w:val="nil"/>
              <w:left w:val="nil"/>
              <w:bottom w:val="nil"/>
              <w:right w:val="nil"/>
            </w:tcBorders>
          </w:tcPr>
          <w:p w14:paraId="145D167F"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5234B89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(571.715)</w:t>
            </w:r>
          </w:p>
        </w:tc>
        <w:tc>
          <w:tcPr>
            <w:tcW w:w="1460" w:type="dxa"/>
            <w:tcBorders>
              <w:top w:val="nil"/>
              <w:left w:val="nil"/>
              <w:bottom w:val="nil"/>
              <w:right w:val="nil"/>
            </w:tcBorders>
          </w:tcPr>
          <w:p w14:paraId="4B994F8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(476.291)</w:t>
            </w:r>
          </w:p>
        </w:tc>
        <w:tc>
          <w:tcPr>
            <w:tcW w:w="1460" w:type="dxa"/>
            <w:tcBorders>
              <w:top w:val="nil"/>
              <w:left w:val="nil"/>
              <w:bottom w:val="nil"/>
              <w:right w:val="nil"/>
            </w:tcBorders>
          </w:tcPr>
          <w:p w14:paraId="538C67A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(598.668)</w:t>
            </w:r>
          </w:p>
        </w:tc>
        <w:tc>
          <w:tcPr>
            <w:tcW w:w="1459" w:type="dxa"/>
            <w:tcBorders>
              <w:top w:val="nil"/>
              <w:left w:val="nil"/>
              <w:bottom w:val="nil"/>
              <w:right w:val="nil"/>
            </w:tcBorders>
          </w:tcPr>
          <w:p w14:paraId="4C7220D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(88.607)</w:t>
            </w:r>
          </w:p>
        </w:tc>
        <w:tc>
          <w:tcPr>
            <w:tcW w:w="1460" w:type="dxa"/>
            <w:tcBorders>
              <w:top w:val="nil"/>
              <w:left w:val="nil"/>
              <w:bottom w:val="nil"/>
              <w:right w:val="nil"/>
            </w:tcBorders>
          </w:tcPr>
          <w:p w14:paraId="51623BB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(177.071)</w:t>
            </w:r>
          </w:p>
        </w:tc>
      </w:tr>
      <w:tr w:rsidR="009E1D45" w14:paraId="61C260A5" w14:textId="77777777" w:rsidTr="001019DE">
        <w:trPr>
          <w:trHeight w:val="305"/>
          <w:jc w:val="center"/>
        </w:trPr>
        <w:tc>
          <w:tcPr>
            <w:tcW w:w="2402" w:type="dxa"/>
            <w:tcBorders>
              <w:top w:val="nil"/>
              <w:left w:val="nil"/>
              <w:bottom w:val="nil"/>
              <w:right w:val="nil"/>
            </w:tcBorders>
          </w:tcPr>
          <w:p w14:paraId="5937366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Econ. </w:t>
            </w:r>
            <w:proofErr w:type="spellStart"/>
            <w:r>
              <w:rPr>
                <w:rFonts w:ascii="Times New Roman" w:hAnsi="Times New Roman" w:cs="Times New Roman"/>
                <w:kern w:val="0"/>
              </w:rPr>
              <w:t>Disad</w:t>
            </w:r>
            <w:proofErr w:type="spellEnd"/>
            <w:r>
              <w:rPr>
                <w:rFonts w:ascii="Times New Roman" w:hAnsi="Times New Roman" w:cs="Times New Roman"/>
                <w:kern w:val="0"/>
              </w:rPr>
              <w:t>.</w:t>
            </w:r>
          </w:p>
        </w:tc>
        <w:tc>
          <w:tcPr>
            <w:tcW w:w="1459" w:type="dxa"/>
            <w:tcBorders>
              <w:top w:val="nil"/>
              <w:left w:val="nil"/>
              <w:bottom w:val="nil"/>
              <w:right w:val="nil"/>
            </w:tcBorders>
          </w:tcPr>
          <w:p w14:paraId="362F655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-470.540</w:t>
            </w:r>
            <w:r>
              <w:rPr>
                <w:rFonts w:ascii="Times New Roman" w:hAnsi="Times New Roman" w:cs="Times New Roman"/>
                <w:kern w:val="0"/>
                <w:vertAlign w:val="superscript"/>
              </w:rPr>
              <w:t>**</w:t>
            </w:r>
          </w:p>
        </w:tc>
        <w:tc>
          <w:tcPr>
            <w:tcW w:w="1460" w:type="dxa"/>
            <w:tcBorders>
              <w:top w:val="nil"/>
              <w:left w:val="nil"/>
              <w:bottom w:val="nil"/>
              <w:right w:val="nil"/>
            </w:tcBorders>
          </w:tcPr>
          <w:p w14:paraId="535066F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-335.530</w:t>
            </w:r>
            <w:r>
              <w:rPr>
                <w:rFonts w:ascii="Times New Roman" w:hAnsi="Times New Roman" w:cs="Times New Roman"/>
                <w:kern w:val="0"/>
                <w:vertAlign w:val="superscript"/>
              </w:rPr>
              <w:t>**</w:t>
            </w:r>
          </w:p>
        </w:tc>
        <w:tc>
          <w:tcPr>
            <w:tcW w:w="1460" w:type="dxa"/>
            <w:tcBorders>
              <w:top w:val="nil"/>
              <w:left w:val="nil"/>
              <w:bottom w:val="nil"/>
              <w:right w:val="nil"/>
            </w:tcBorders>
          </w:tcPr>
          <w:p w14:paraId="4E8BFFA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-330.392</w:t>
            </w:r>
            <w:r>
              <w:rPr>
                <w:rFonts w:ascii="Times New Roman" w:hAnsi="Times New Roman" w:cs="Times New Roman"/>
                <w:kern w:val="0"/>
                <w:vertAlign w:val="superscript"/>
              </w:rPr>
              <w:t>**</w:t>
            </w:r>
          </w:p>
        </w:tc>
        <w:tc>
          <w:tcPr>
            <w:tcW w:w="1459" w:type="dxa"/>
            <w:tcBorders>
              <w:top w:val="nil"/>
              <w:left w:val="nil"/>
              <w:bottom w:val="nil"/>
              <w:right w:val="nil"/>
            </w:tcBorders>
          </w:tcPr>
          <w:p w14:paraId="6BDC952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0.110</w:t>
            </w:r>
          </w:p>
        </w:tc>
        <w:tc>
          <w:tcPr>
            <w:tcW w:w="1460" w:type="dxa"/>
            <w:tcBorders>
              <w:top w:val="nil"/>
              <w:left w:val="nil"/>
              <w:bottom w:val="nil"/>
              <w:right w:val="nil"/>
            </w:tcBorders>
          </w:tcPr>
          <w:p w14:paraId="08528B9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107.749</w:t>
            </w:r>
          </w:p>
        </w:tc>
      </w:tr>
      <w:tr w:rsidR="009E1D45" w14:paraId="7DF6DAEB" w14:textId="77777777" w:rsidTr="001019DE">
        <w:trPr>
          <w:trHeight w:val="305"/>
          <w:jc w:val="center"/>
        </w:trPr>
        <w:tc>
          <w:tcPr>
            <w:tcW w:w="2402" w:type="dxa"/>
            <w:tcBorders>
              <w:top w:val="nil"/>
              <w:left w:val="nil"/>
              <w:bottom w:val="nil"/>
              <w:right w:val="nil"/>
            </w:tcBorders>
          </w:tcPr>
          <w:p w14:paraId="790281A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7034596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(183.840)</w:t>
            </w:r>
          </w:p>
        </w:tc>
        <w:tc>
          <w:tcPr>
            <w:tcW w:w="1460" w:type="dxa"/>
            <w:tcBorders>
              <w:top w:val="nil"/>
              <w:left w:val="nil"/>
              <w:bottom w:val="nil"/>
              <w:right w:val="nil"/>
            </w:tcBorders>
          </w:tcPr>
          <w:p w14:paraId="2356A2C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(130.899)</w:t>
            </w:r>
          </w:p>
        </w:tc>
        <w:tc>
          <w:tcPr>
            <w:tcW w:w="1460" w:type="dxa"/>
            <w:tcBorders>
              <w:top w:val="nil"/>
              <w:left w:val="nil"/>
              <w:bottom w:val="nil"/>
              <w:right w:val="nil"/>
            </w:tcBorders>
          </w:tcPr>
          <w:p w14:paraId="4DAE93F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(152.683)</w:t>
            </w:r>
          </w:p>
        </w:tc>
        <w:tc>
          <w:tcPr>
            <w:tcW w:w="1459" w:type="dxa"/>
            <w:tcBorders>
              <w:top w:val="nil"/>
              <w:left w:val="nil"/>
              <w:bottom w:val="nil"/>
              <w:right w:val="nil"/>
            </w:tcBorders>
          </w:tcPr>
          <w:p w14:paraId="3D6F3A0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(21.850)</w:t>
            </w:r>
          </w:p>
        </w:tc>
        <w:tc>
          <w:tcPr>
            <w:tcW w:w="1460" w:type="dxa"/>
            <w:tcBorders>
              <w:top w:val="nil"/>
              <w:left w:val="nil"/>
              <w:bottom w:val="nil"/>
              <w:right w:val="nil"/>
            </w:tcBorders>
          </w:tcPr>
          <w:p w14:paraId="6F1118F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(109.181)</w:t>
            </w:r>
          </w:p>
        </w:tc>
      </w:tr>
      <w:tr w:rsidR="009E1D45" w14:paraId="197E01E3" w14:textId="77777777" w:rsidTr="001019DE">
        <w:trPr>
          <w:trHeight w:val="305"/>
          <w:jc w:val="center"/>
        </w:trPr>
        <w:tc>
          <w:tcPr>
            <w:tcW w:w="2402" w:type="dxa"/>
            <w:tcBorders>
              <w:top w:val="nil"/>
              <w:left w:val="nil"/>
              <w:bottom w:val="nil"/>
              <w:right w:val="nil"/>
            </w:tcBorders>
          </w:tcPr>
          <w:p w14:paraId="023975DE"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SWD</w:t>
            </w:r>
          </w:p>
        </w:tc>
        <w:tc>
          <w:tcPr>
            <w:tcW w:w="1459" w:type="dxa"/>
            <w:tcBorders>
              <w:top w:val="nil"/>
              <w:left w:val="nil"/>
              <w:bottom w:val="nil"/>
              <w:right w:val="nil"/>
            </w:tcBorders>
          </w:tcPr>
          <w:p w14:paraId="716B68F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1998.603</w:t>
            </w:r>
            <w:r>
              <w:rPr>
                <w:rFonts w:ascii="Times New Roman" w:hAnsi="Times New Roman" w:cs="Times New Roman"/>
                <w:kern w:val="0"/>
                <w:vertAlign w:val="superscript"/>
              </w:rPr>
              <w:t>***</w:t>
            </w:r>
          </w:p>
        </w:tc>
        <w:tc>
          <w:tcPr>
            <w:tcW w:w="1460" w:type="dxa"/>
            <w:tcBorders>
              <w:top w:val="nil"/>
              <w:left w:val="nil"/>
              <w:bottom w:val="nil"/>
              <w:right w:val="nil"/>
            </w:tcBorders>
          </w:tcPr>
          <w:p w14:paraId="40A5AE3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865.582</w:t>
            </w:r>
            <w:r>
              <w:rPr>
                <w:rFonts w:ascii="Times New Roman" w:hAnsi="Times New Roman" w:cs="Times New Roman"/>
                <w:kern w:val="0"/>
                <w:vertAlign w:val="superscript"/>
              </w:rPr>
              <w:t>**</w:t>
            </w:r>
          </w:p>
        </w:tc>
        <w:tc>
          <w:tcPr>
            <w:tcW w:w="1460" w:type="dxa"/>
            <w:tcBorders>
              <w:top w:val="nil"/>
              <w:left w:val="nil"/>
              <w:bottom w:val="nil"/>
              <w:right w:val="nil"/>
            </w:tcBorders>
          </w:tcPr>
          <w:p w14:paraId="2F1A058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665.056</w:t>
            </w:r>
            <w:r>
              <w:rPr>
                <w:rFonts w:ascii="Times New Roman" w:hAnsi="Times New Roman" w:cs="Times New Roman"/>
                <w:kern w:val="0"/>
                <w:vertAlign w:val="superscript"/>
              </w:rPr>
              <w:t>*</w:t>
            </w:r>
          </w:p>
        </w:tc>
        <w:tc>
          <w:tcPr>
            <w:tcW w:w="1459" w:type="dxa"/>
            <w:tcBorders>
              <w:top w:val="nil"/>
              <w:left w:val="nil"/>
              <w:bottom w:val="nil"/>
              <w:right w:val="nil"/>
            </w:tcBorders>
          </w:tcPr>
          <w:p w14:paraId="145385D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104.911</w:t>
            </w:r>
            <w:r>
              <w:rPr>
                <w:rFonts w:ascii="Times New Roman" w:hAnsi="Times New Roman" w:cs="Times New Roman"/>
                <w:kern w:val="0"/>
                <w:vertAlign w:val="superscript"/>
              </w:rPr>
              <w:t>*</w:t>
            </w:r>
          </w:p>
        </w:tc>
        <w:tc>
          <w:tcPr>
            <w:tcW w:w="1460" w:type="dxa"/>
            <w:tcBorders>
              <w:top w:val="nil"/>
              <w:left w:val="nil"/>
              <w:bottom w:val="nil"/>
              <w:right w:val="nil"/>
            </w:tcBorders>
          </w:tcPr>
          <w:p w14:paraId="6342ECA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50.479</w:t>
            </w:r>
          </w:p>
        </w:tc>
      </w:tr>
      <w:tr w:rsidR="009E1D45" w14:paraId="7D632607" w14:textId="77777777" w:rsidTr="001019DE">
        <w:trPr>
          <w:trHeight w:val="284"/>
          <w:jc w:val="center"/>
        </w:trPr>
        <w:tc>
          <w:tcPr>
            <w:tcW w:w="2402" w:type="dxa"/>
            <w:tcBorders>
              <w:top w:val="nil"/>
              <w:left w:val="nil"/>
              <w:bottom w:val="nil"/>
              <w:right w:val="nil"/>
            </w:tcBorders>
          </w:tcPr>
          <w:p w14:paraId="121B29E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37240F0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(438.096)</w:t>
            </w:r>
          </w:p>
        </w:tc>
        <w:tc>
          <w:tcPr>
            <w:tcW w:w="1460" w:type="dxa"/>
            <w:tcBorders>
              <w:top w:val="nil"/>
              <w:left w:val="nil"/>
              <w:bottom w:val="nil"/>
              <w:right w:val="nil"/>
            </w:tcBorders>
          </w:tcPr>
          <w:p w14:paraId="7D60BC7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(378.980)</w:t>
            </w:r>
          </w:p>
        </w:tc>
        <w:tc>
          <w:tcPr>
            <w:tcW w:w="1460" w:type="dxa"/>
            <w:tcBorders>
              <w:top w:val="nil"/>
              <w:left w:val="nil"/>
              <w:bottom w:val="nil"/>
              <w:right w:val="nil"/>
            </w:tcBorders>
          </w:tcPr>
          <w:p w14:paraId="032BA51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(388.943)</w:t>
            </w:r>
          </w:p>
        </w:tc>
        <w:tc>
          <w:tcPr>
            <w:tcW w:w="1459" w:type="dxa"/>
            <w:tcBorders>
              <w:top w:val="nil"/>
              <w:left w:val="nil"/>
              <w:bottom w:val="nil"/>
              <w:right w:val="nil"/>
            </w:tcBorders>
          </w:tcPr>
          <w:p w14:paraId="3C68EDC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(56.273)</w:t>
            </w:r>
          </w:p>
        </w:tc>
        <w:tc>
          <w:tcPr>
            <w:tcW w:w="1460" w:type="dxa"/>
            <w:tcBorders>
              <w:top w:val="nil"/>
              <w:left w:val="nil"/>
              <w:bottom w:val="nil"/>
              <w:right w:val="nil"/>
            </w:tcBorders>
          </w:tcPr>
          <w:p w14:paraId="207681E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(173.716)</w:t>
            </w:r>
          </w:p>
        </w:tc>
      </w:tr>
      <w:tr w:rsidR="009E1D45" w14:paraId="2494E088" w14:textId="77777777" w:rsidTr="001019DE">
        <w:trPr>
          <w:trHeight w:val="305"/>
          <w:jc w:val="center"/>
        </w:trPr>
        <w:tc>
          <w:tcPr>
            <w:tcW w:w="2402" w:type="dxa"/>
            <w:tcBorders>
              <w:top w:val="nil"/>
              <w:left w:val="nil"/>
              <w:bottom w:val="nil"/>
              <w:right w:val="nil"/>
            </w:tcBorders>
          </w:tcPr>
          <w:p w14:paraId="5FB6DEF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Log Dist. Enrollment</w:t>
            </w:r>
          </w:p>
        </w:tc>
        <w:tc>
          <w:tcPr>
            <w:tcW w:w="1459" w:type="dxa"/>
            <w:tcBorders>
              <w:top w:val="nil"/>
              <w:left w:val="nil"/>
              <w:bottom w:val="nil"/>
              <w:right w:val="nil"/>
            </w:tcBorders>
          </w:tcPr>
          <w:p w14:paraId="05939BE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-320.398</w:t>
            </w:r>
            <w:r>
              <w:rPr>
                <w:rFonts w:ascii="Times New Roman" w:hAnsi="Times New Roman" w:cs="Times New Roman"/>
                <w:kern w:val="0"/>
                <w:vertAlign w:val="superscript"/>
              </w:rPr>
              <w:t>**</w:t>
            </w:r>
          </w:p>
        </w:tc>
        <w:tc>
          <w:tcPr>
            <w:tcW w:w="1460" w:type="dxa"/>
            <w:tcBorders>
              <w:top w:val="nil"/>
              <w:left w:val="nil"/>
              <w:bottom w:val="nil"/>
              <w:right w:val="nil"/>
            </w:tcBorders>
          </w:tcPr>
          <w:p w14:paraId="0AD0599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-323.239</w:t>
            </w:r>
            <w:r>
              <w:rPr>
                <w:rFonts w:ascii="Times New Roman" w:hAnsi="Times New Roman" w:cs="Times New Roman"/>
                <w:kern w:val="0"/>
                <w:vertAlign w:val="superscript"/>
              </w:rPr>
              <w:t>**</w:t>
            </w:r>
          </w:p>
        </w:tc>
        <w:tc>
          <w:tcPr>
            <w:tcW w:w="1460" w:type="dxa"/>
            <w:tcBorders>
              <w:top w:val="nil"/>
              <w:left w:val="nil"/>
              <w:bottom w:val="nil"/>
              <w:right w:val="nil"/>
            </w:tcBorders>
          </w:tcPr>
          <w:p w14:paraId="7609AE9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-340.814</w:t>
            </w:r>
            <w:r>
              <w:rPr>
                <w:rFonts w:ascii="Times New Roman" w:hAnsi="Times New Roman" w:cs="Times New Roman"/>
                <w:kern w:val="0"/>
                <w:vertAlign w:val="superscript"/>
              </w:rPr>
              <w:t>**</w:t>
            </w:r>
          </w:p>
        </w:tc>
        <w:tc>
          <w:tcPr>
            <w:tcW w:w="1459" w:type="dxa"/>
            <w:tcBorders>
              <w:top w:val="nil"/>
              <w:left w:val="nil"/>
              <w:bottom w:val="nil"/>
              <w:right w:val="nil"/>
            </w:tcBorders>
          </w:tcPr>
          <w:p w14:paraId="6C7B2A7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-5.185</w:t>
            </w:r>
          </w:p>
        </w:tc>
        <w:tc>
          <w:tcPr>
            <w:tcW w:w="1460" w:type="dxa"/>
            <w:tcBorders>
              <w:top w:val="nil"/>
              <w:left w:val="nil"/>
              <w:bottom w:val="nil"/>
              <w:right w:val="nil"/>
            </w:tcBorders>
          </w:tcPr>
          <w:p w14:paraId="4C1A35F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-54.338</w:t>
            </w:r>
          </w:p>
        </w:tc>
      </w:tr>
      <w:tr w:rsidR="009E1D45" w14:paraId="4988486C" w14:textId="77777777" w:rsidTr="001019DE">
        <w:trPr>
          <w:trHeight w:val="305"/>
          <w:jc w:val="center"/>
        </w:trPr>
        <w:tc>
          <w:tcPr>
            <w:tcW w:w="2402" w:type="dxa"/>
            <w:tcBorders>
              <w:top w:val="nil"/>
              <w:left w:val="nil"/>
              <w:bottom w:val="single" w:sz="4" w:space="0" w:color="auto"/>
              <w:right w:val="nil"/>
            </w:tcBorders>
          </w:tcPr>
          <w:p w14:paraId="7E7683C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single" w:sz="4" w:space="0" w:color="auto"/>
              <w:right w:val="nil"/>
            </w:tcBorders>
          </w:tcPr>
          <w:p w14:paraId="23AADA0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(123.328)</w:t>
            </w:r>
          </w:p>
        </w:tc>
        <w:tc>
          <w:tcPr>
            <w:tcW w:w="1460" w:type="dxa"/>
            <w:tcBorders>
              <w:top w:val="nil"/>
              <w:left w:val="nil"/>
              <w:bottom w:val="single" w:sz="4" w:space="0" w:color="auto"/>
              <w:right w:val="nil"/>
            </w:tcBorders>
          </w:tcPr>
          <w:p w14:paraId="6C7B7CA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(136.509)</w:t>
            </w:r>
          </w:p>
        </w:tc>
        <w:tc>
          <w:tcPr>
            <w:tcW w:w="1460" w:type="dxa"/>
            <w:tcBorders>
              <w:top w:val="nil"/>
              <w:left w:val="nil"/>
              <w:bottom w:val="single" w:sz="4" w:space="0" w:color="auto"/>
              <w:right w:val="nil"/>
            </w:tcBorders>
          </w:tcPr>
          <w:p w14:paraId="58694C3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(139.920)</w:t>
            </w:r>
          </w:p>
        </w:tc>
        <w:tc>
          <w:tcPr>
            <w:tcW w:w="1459" w:type="dxa"/>
            <w:tcBorders>
              <w:top w:val="nil"/>
              <w:left w:val="nil"/>
              <w:bottom w:val="single" w:sz="4" w:space="0" w:color="auto"/>
              <w:right w:val="nil"/>
            </w:tcBorders>
          </w:tcPr>
          <w:p w14:paraId="5A9E7D8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(15.818)</w:t>
            </w:r>
          </w:p>
        </w:tc>
        <w:tc>
          <w:tcPr>
            <w:tcW w:w="1460" w:type="dxa"/>
            <w:tcBorders>
              <w:top w:val="nil"/>
              <w:left w:val="nil"/>
              <w:bottom w:val="single" w:sz="4" w:space="0" w:color="auto"/>
              <w:right w:val="nil"/>
            </w:tcBorders>
          </w:tcPr>
          <w:p w14:paraId="0D4274D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(41.830)</w:t>
            </w:r>
          </w:p>
        </w:tc>
      </w:tr>
      <w:tr w:rsidR="009E1D45" w14:paraId="6B026BE8" w14:textId="77777777" w:rsidTr="001019DE">
        <w:trPr>
          <w:trHeight w:val="284"/>
          <w:jc w:val="center"/>
        </w:trPr>
        <w:tc>
          <w:tcPr>
            <w:tcW w:w="2402" w:type="dxa"/>
            <w:tcBorders>
              <w:left w:val="nil"/>
              <w:bottom w:val="single" w:sz="4" w:space="0" w:color="auto"/>
              <w:right w:val="nil"/>
            </w:tcBorders>
          </w:tcPr>
          <w:p w14:paraId="0C4F308D"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Observations</w:t>
            </w:r>
          </w:p>
        </w:tc>
        <w:tc>
          <w:tcPr>
            <w:tcW w:w="1459" w:type="dxa"/>
            <w:tcBorders>
              <w:left w:val="nil"/>
              <w:bottom w:val="single" w:sz="4" w:space="0" w:color="auto"/>
              <w:right w:val="nil"/>
            </w:tcBorders>
          </w:tcPr>
          <w:p w14:paraId="5506587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c>
          <w:tcPr>
            <w:tcW w:w="1460" w:type="dxa"/>
            <w:tcBorders>
              <w:left w:val="nil"/>
              <w:bottom w:val="single" w:sz="4" w:space="0" w:color="auto"/>
              <w:right w:val="nil"/>
            </w:tcBorders>
          </w:tcPr>
          <w:p w14:paraId="6F7D368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c>
          <w:tcPr>
            <w:tcW w:w="1460" w:type="dxa"/>
            <w:tcBorders>
              <w:left w:val="nil"/>
              <w:bottom w:val="single" w:sz="4" w:space="0" w:color="auto"/>
              <w:right w:val="nil"/>
            </w:tcBorders>
          </w:tcPr>
          <w:p w14:paraId="31A2D78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c>
          <w:tcPr>
            <w:tcW w:w="1459" w:type="dxa"/>
            <w:tcBorders>
              <w:left w:val="nil"/>
              <w:bottom w:val="single" w:sz="4" w:space="0" w:color="auto"/>
              <w:right w:val="nil"/>
            </w:tcBorders>
          </w:tcPr>
          <w:p w14:paraId="4F3420B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c>
          <w:tcPr>
            <w:tcW w:w="1460" w:type="dxa"/>
            <w:tcBorders>
              <w:left w:val="nil"/>
              <w:bottom w:val="single" w:sz="4" w:space="0" w:color="auto"/>
              <w:right w:val="nil"/>
            </w:tcBorders>
          </w:tcPr>
          <w:p w14:paraId="1DD7631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851</w:t>
            </w:r>
          </w:p>
        </w:tc>
      </w:tr>
    </w:tbl>
    <w:p w14:paraId="56F2A6B4"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Average causal response estimates from Equation (1) aggregated using the weighted average of estimates in Equation (2). Dosage represents a continuous measure of the increase in the millage of the special education property tax in each ISD. All standard errors clustered at the ISD-level and unconditional on covariates.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0.1,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0.05,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0.01</w:t>
      </w:r>
    </w:p>
    <w:p w14:paraId="35F23829" w14:textId="77777777" w:rsidR="009E1D45" w:rsidRDefault="009E1D45" w:rsidP="009E1D45">
      <w:pPr>
        <w:jc w:val="center"/>
        <w:rPr>
          <w:rFonts w:ascii="Times New Roman" w:hAnsi="Times New Roman" w:cs="Times New Roman"/>
          <w:b/>
          <w:bCs/>
        </w:rPr>
      </w:pPr>
    </w:p>
    <w:p w14:paraId="28613E89" w14:textId="77777777" w:rsidR="009E1D45" w:rsidRDefault="009E1D45" w:rsidP="009E1D45">
      <w:pPr>
        <w:jc w:val="center"/>
        <w:rPr>
          <w:rFonts w:ascii="Times New Roman" w:hAnsi="Times New Roman" w:cs="Times New Roman"/>
          <w:b/>
          <w:bCs/>
        </w:rPr>
      </w:pPr>
    </w:p>
    <w:p w14:paraId="35A8C5BE" w14:textId="77777777" w:rsidR="009E1D45" w:rsidRDefault="009E1D45" w:rsidP="009E1D45">
      <w:pPr>
        <w:jc w:val="center"/>
        <w:rPr>
          <w:rFonts w:ascii="Times New Roman" w:hAnsi="Times New Roman" w:cs="Times New Roman"/>
          <w:b/>
          <w:bCs/>
        </w:rPr>
      </w:pPr>
    </w:p>
    <w:p w14:paraId="26B6D7CD" w14:textId="77777777" w:rsidR="009E1D45" w:rsidRDefault="009E1D45" w:rsidP="009E1D45">
      <w:pPr>
        <w:jc w:val="center"/>
        <w:rPr>
          <w:rFonts w:ascii="Times New Roman" w:hAnsi="Times New Roman" w:cs="Times New Roman"/>
          <w:b/>
          <w:bCs/>
        </w:rPr>
      </w:pPr>
    </w:p>
    <w:p w14:paraId="4F819BC7" w14:textId="77777777" w:rsidR="009E1D45" w:rsidRDefault="009E1D45" w:rsidP="009E1D45">
      <w:pPr>
        <w:rPr>
          <w:rFonts w:ascii="Times New Roman" w:hAnsi="Times New Roman" w:cs="Times New Roman"/>
          <w:b/>
          <w:bCs/>
        </w:rPr>
      </w:pPr>
    </w:p>
    <w:p w14:paraId="3A4205FF" w14:textId="77777777" w:rsidR="009E1D45" w:rsidRDefault="009E1D45" w:rsidP="009E1D45">
      <w:pPr>
        <w:rPr>
          <w:rFonts w:ascii="Times New Roman" w:hAnsi="Times New Roman" w:cs="Times New Roman"/>
        </w:rPr>
      </w:pPr>
    </w:p>
    <w:p w14:paraId="11ECE646" w14:textId="77777777" w:rsidR="009E1D45" w:rsidRDefault="009E1D45" w:rsidP="009E1D45">
      <w:pPr>
        <w:rPr>
          <w:rFonts w:ascii="Times New Roman" w:hAnsi="Times New Roman" w:cs="Times New Roman"/>
          <w:b/>
          <w:bCs/>
        </w:rPr>
      </w:pPr>
    </w:p>
    <w:p w14:paraId="484ACEB7" w14:textId="77777777" w:rsidR="009E1D45" w:rsidRDefault="009E1D45" w:rsidP="009E1D45">
      <w:pPr>
        <w:rPr>
          <w:rFonts w:ascii="Times New Roman" w:hAnsi="Times New Roman" w:cs="Times New Roman"/>
          <w:b/>
          <w:bCs/>
        </w:rPr>
      </w:pPr>
    </w:p>
    <w:p w14:paraId="78E920AA" w14:textId="77777777" w:rsidR="009E1D45" w:rsidRDefault="009E1D45" w:rsidP="009E1D45">
      <w:pPr>
        <w:jc w:val="center"/>
        <w:rPr>
          <w:rFonts w:ascii="Times New Roman" w:hAnsi="Times New Roman" w:cs="Times New Roman"/>
          <w:b/>
          <w:bCs/>
        </w:rPr>
      </w:pPr>
    </w:p>
    <w:p w14:paraId="2296FFF6" w14:textId="77777777" w:rsidR="009E1D45" w:rsidRDefault="009E1D45" w:rsidP="009E1D45">
      <w:pPr>
        <w:rPr>
          <w:rFonts w:ascii="Times New Roman" w:hAnsi="Times New Roman" w:cs="Times New Roman"/>
          <w:b/>
          <w:bCs/>
        </w:rPr>
      </w:pPr>
    </w:p>
    <w:p w14:paraId="15E650EB" w14:textId="77777777" w:rsidR="009E1D45" w:rsidRDefault="009E1D45" w:rsidP="009E1D45">
      <w:pPr>
        <w:jc w:val="center"/>
        <w:rPr>
          <w:rFonts w:ascii="Times New Roman" w:hAnsi="Times New Roman" w:cs="Times New Roman"/>
          <w:b/>
          <w:bCs/>
        </w:rPr>
      </w:pPr>
    </w:p>
    <w:p w14:paraId="3FBB04F6" w14:textId="77777777" w:rsidR="009E1D45" w:rsidRDefault="009E1D45" w:rsidP="009E1D45">
      <w:pPr>
        <w:jc w:val="center"/>
        <w:rPr>
          <w:rFonts w:ascii="Times New Roman" w:hAnsi="Times New Roman" w:cs="Times New Roman"/>
          <w:b/>
          <w:bCs/>
        </w:rPr>
      </w:pPr>
    </w:p>
    <w:p w14:paraId="04BA370C" w14:textId="77777777" w:rsidR="009E1D45" w:rsidRDefault="009E1D45" w:rsidP="009E1D45">
      <w:pPr>
        <w:jc w:val="center"/>
        <w:rPr>
          <w:rFonts w:ascii="Times New Roman" w:hAnsi="Times New Roman" w:cs="Times New Roman"/>
          <w:b/>
          <w:bCs/>
        </w:rPr>
      </w:pPr>
    </w:p>
    <w:p w14:paraId="76DE8D7D"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Table A</w:t>
      </w:r>
      <w:r>
        <w:rPr>
          <w:rFonts w:ascii="Times New Roman" w:hAnsi="Times New Roman" w:cs="Times New Roman"/>
          <w:b/>
          <w:bCs/>
        </w:rPr>
        <w:t>6</w:t>
      </w:r>
      <w:r w:rsidRPr="000E0BBF">
        <w:rPr>
          <w:rFonts w:ascii="Times New Roman" w:hAnsi="Times New Roman" w:cs="Times New Roman"/>
          <w:b/>
          <w:bCs/>
        </w:rPr>
        <w:t>: Average Causal Response of School District-Level Revenues from ISD following Earmarked Property Tax Increases</w:t>
      </w:r>
    </w:p>
    <w:tbl>
      <w:tblPr>
        <w:tblW w:w="9877" w:type="dxa"/>
        <w:tblInd w:w="-540" w:type="dxa"/>
        <w:tblLayout w:type="fixed"/>
        <w:tblLook w:val="0000" w:firstRow="0" w:lastRow="0" w:firstColumn="0" w:lastColumn="0" w:noHBand="0" w:noVBand="0"/>
      </w:tblPr>
      <w:tblGrid>
        <w:gridCol w:w="4337"/>
        <w:gridCol w:w="2770"/>
        <w:gridCol w:w="2770"/>
      </w:tblGrid>
      <w:tr w:rsidR="009E1D45" w:rsidRPr="000E0BBF" w14:paraId="741BB423" w14:textId="77777777" w:rsidTr="001019DE">
        <w:trPr>
          <w:trHeight w:val="269"/>
        </w:trPr>
        <w:tc>
          <w:tcPr>
            <w:tcW w:w="4337" w:type="dxa"/>
            <w:tcBorders>
              <w:top w:val="single" w:sz="4" w:space="0" w:color="auto"/>
              <w:left w:val="nil"/>
              <w:right w:val="nil"/>
            </w:tcBorders>
          </w:tcPr>
          <w:p w14:paraId="52E6F536"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5540" w:type="dxa"/>
            <w:gridSpan w:val="2"/>
            <w:tcBorders>
              <w:top w:val="single" w:sz="4" w:space="0" w:color="auto"/>
              <w:left w:val="nil"/>
              <w:right w:val="nil"/>
            </w:tcBorders>
          </w:tcPr>
          <w:p w14:paraId="0159FBC0"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sidRPr="000E0BBF">
              <w:rPr>
                <w:rFonts w:ascii="Times New Roman" w:hAnsi="Times New Roman" w:cs="Times New Roman"/>
                <w:kern w:val="0"/>
              </w:rPr>
              <w:t>Per Pupil Revenues from ISD</w:t>
            </w:r>
          </w:p>
        </w:tc>
      </w:tr>
      <w:tr w:rsidR="009E1D45" w:rsidRPr="000E0BBF" w14:paraId="25D308FE" w14:textId="77777777" w:rsidTr="001019DE">
        <w:trPr>
          <w:trHeight w:val="303"/>
        </w:trPr>
        <w:tc>
          <w:tcPr>
            <w:tcW w:w="4337" w:type="dxa"/>
            <w:tcBorders>
              <w:left w:val="nil"/>
              <w:bottom w:val="nil"/>
              <w:right w:val="nil"/>
            </w:tcBorders>
          </w:tcPr>
          <w:p w14:paraId="65DA962E"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770" w:type="dxa"/>
            <w:tcBorders>
              <w:left w:val="nil"/>
              <w:bottom w:val="nil"/>
              <w:right w:val="nil"/>
            </w:tcBorders>
          </w:tcPr>
          <w:p w14:paraId="0DC0447F"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sidRPr="000E0BBF">
              <w:rPr>
                <w:rFonts w:ascii="Times New Roman" w:hAnsi="Times New Roman" w:cs="Times New Roman"/>
                <w:kern w:val="0"/>
              </w:rPr>
              <w:t>(1)</w:t>
            </w:r>
          </w:p>
        </w:tc>
        <w:tc>
          <w:tcPr>
            <w:tcW w:w="2770" w:type="dxa"/>
            <w:tcBorders>
              <w:left w:val="nil"/>
              <w:bottom w:val="nil"/>
              <w:right w:val="nil"/>
            </w:tcBorders>
          </w:tcPr>
          <w:p w14:paraId="24107130"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sidRPr="000E0BBF">
              <w:rPr>
                <w:rFonts w:ascii="Times New Roman" w:hAnsi="Times New Roman" w:cs="Times New Roman"/>
                <w:kern w:val="0"/>
              </w:rPr>
              <w:t>(2)</w:t>
            </w:r>
          </w:p>
        </w:tc>
      </w:tr>
      <w:tr w:rsidR="009E1D45" w:rsidRPr="000E0BBF" w14:paraId="7CA41263" w14:textId="77777777" w:rsidTr="001019DE">
        <w:trPr>
          <w:trHeight w:val="281"/>
        </w:trPr>
        <w:tc>
          <w:tcPr>
            <w:tcW w:w="4337" w:type="dxa"/>
            <w:tcBorders>
              <w:top w:val="single" w:sz="4" w:space="0" w:color="auto"/>
              <w:left w:val="nil"/>
              <w:bottom w:val="nil"/>
              <w:right w:val="nil"/>
            </w:tcBorders>
          </w:tcPr>
          <w:p w14:paraId="2C0CC7D9"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r w:rsidRPr="000E0BBF">
              <w:rPr>
                <w:rFonts w:ascii="Times New Roman" w:hAnsi="Times New Roman" w:cs="Times New Roman"/>
                <w:kern w:val="0"/>
              </w:rPr>
              <w:t>ACR</w:t>
            </w:r>
          </w:p>
        </w:tc>
        <w:tc>
          <w:tcPr>
            <w:tcW w:w="2770" w:type="dxa"/>
            <w:tcBorders>
              <w:top w:val="single" w:sz="4" w:space="0" w:color="auto"/>
              <w:left w:val="nil"/>
              <w:bottom w:val="nil"/>
              <w:right w:val="nil"/>
            </w:tcBorders>
          </w:tcPr>
          <w:p w14:paraId="015BA5EE"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368.750</w:t>
            </w:r>
            <w:r>
              <w:rPr>
                <w:rFonts w:ascii="Times New Roman" w:hAnsi="Times New Roman" w:cs="Times New Roman"/>
                <w:kern w:val="0"/>
                <w:vertAlign w:val="superscript"/>
              </w:rPr>
              <w:t>***</w:t>
            </w:r>
          </w:p>
        </w:tc>
        <w:tc>
          <w:tcPr>
            <w:tcW w:w="2770" w:type="dxa"/>
            <w:tcBorders>
              <w:top w:val="single" w:sz="4" w:space="0" w:color="auto"/>
              <w:left w:val="nil"/>
              <w:bottom w:val="nil"/>
              <w:right w:val="nil"/>
            </w:tcBorders>
          </w:tcPr>
          <w:p w14:paraId="33F943A0"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203.345</w:t>
            </w:r>
            <w:r>
              <w:rPr>
                <w:rFonts w:ascii="Times New Roman" w:hAnsi="Times New Roman" w:cs="Times New Roman"/>
                <w:kern w:val="0"/>
                <w:vertAlign w:val="superscript"/>
              </w:rPr>
              <w:t>***</w:t>
            </w:r>
          </w:p>
        </w:tc>
      </w:tr>
      <w:tr w:rsidR="009E1D45" w:rsidRPr="000E0BBF" w14:paraId="65561E63" w14:textId="77777777" w:rsidTr="001019DE">
        <w:trPr>
          <w:trHeight w:val="303"/>
        </w:trPr>
        <w:tc>
          <w:tcPr>
            <w:tcW w:w="4337" w:type="dxa"/>
            <w:tcBorders>
              <w:top w:val="nil"/>
              <w:left w:val="nil"/>
              <w:bottom w:val="nil"/>
              <w:right w:val="nil"/>
            </w:tcBorders>
          </w:tcPr>
          <w:p w14:paraId="3D624D53"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770" w:type="dxa"/>
            <w:tcBorders>
              <w:top w:val="nil"/>
              <w:left w:val="nil"/>
              <w:bottom w:val="nil"/>
              <w:right w:val="nil"/>
            </w:tcBorders>
          </w:tcPr>
          <w:p w14:paraId="7F3D33DA"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(70.414)</w:t>
            </w:r>
          </w:p>
        </w:tc>
        <w:tc>
          <w:tcPr>
            <w:tcW w:w="2770" w:type="dxa"/>
            <w:tcBorders>
              <w:top w:val="nil"/>
              <w:left w:val="nil"/>
              <w:bottom w:val="nil"/>
              <w:right w:val="nil"/>
            </w:tcBorders>
          </w:tcPr>
          <w:p w14:paraId="69FB3611"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(60.620)</w:t>
            </w:r>
          </w:p>
        </w:tc>
      </w:tr>
      <w:tr w:rsidR="009E1D45" w:rsidRPr="000E0BBF" w14:paraId="76D353D9" w14:textId="77777777" w:rsidTr="001019DE">
        <w:trPr>
          <w:trHeight w:val="303"/>
        </w:trPr>
        <w:tc>
          <w:tcPr>
            <w:tcW w:w="4337" w:type="dxa"/>
            <w:tcBorders>
              <w:top w:val="nil"/>
              <w:left w:val="nil"/>
              <w:bottom w:val="nil"/>
              <w:right w:val="nil"/>
            </w:tcBorders>
          </w:tcPr>
          <w:p w14:paraId="33D8B19A"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r w:rsidRPr="000E0BBF">
              <w:rPr>
                <w:rFonts w:ascii="Times New Roman" w:hAnsi="Times New Roman" w:cs="Times New Roman"/>
                <w:kern w:val="0"/>
              </w:rPr>
              <w:t>Percent Female</w:t>
            </w:r>
          </w:p>
        </w:tc>
        <w:tc>
          <w:tcPr>
            <w:tcW w:w="2770" w:type="dxa"/>
            <w:tcBorders>
              <w:top w:val="nil"/>
              <w:left w:val="nil"/>
              <w:bottom w:val="nil"/>
              <w:right w:val="nil"/>
            </w:tcBorders>
          </w:tcPr>
          <w:p w14:paraId="1B224188"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-337.900</w:t>
            </w:r>
          </w:p>
        </w:tc>
        <w:tc>
          <w:tcPr>
            <w:tcW w:w="2770" w:type="dxa"/>
            <w:tcBorders>
              <w:top w:val="nil"/>
              <w:left w:val="nil"/>
              <w:bottom w:val="nil"/>
              <w:right w:val="nil"/>
            </w:tcBorders>
          </w:tcPr>
          <w:p w14:paraId="0C38B70E"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-65.676</w:t>
            </w:r>
          </w:p>
        </w:tc>
      </w:tr>
      <w:tr w:rsidR="009E1D45" w:rsidRPr="000E0BBF" w14:paraId="1DA6A3C7" w14:textId="77777777" w:rsidTr="001019DE">
        <w:trPr>
          <w:trHeight w:val="303"/>
        </w:trPr>
        <w:tc>
          <w:tcPr>
            <w:tcW w:w="4337" w:type="dxa"/>
            <w:tcBorders>
              <w:top w:val="nil"/>
              <w:left w:val="nil"/>
              <w:bottom w:val="nil"/>
              <w:right w:val="nil"/>
            </w:tcBorders>
          </w:tcPr>
          <w:p w14:paraId="24449BC7"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770" w:type="dxa"/>
            <w:tcBorders>
              <w:top w:val="nil"/>
              <w:left w:val="nil"/>
              <w:bottom w:val="nil"/>
              <w:right w:val="nil"/>
            </w:tcBorders>
          </w:tcPr>
          <w:p w14:paraId="7718E301"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(521.479)</w:t>
            </w:r>
          </w:p>
        </w:tc>
        <w:tc>
          <w:tcPr>
            <w:tcW w:w="2770" w:type="dxa"/>
            <w:tcBorders>
              <w:top w:val="nil"/>
              <w:left w:val="nil"/>
              <w:bottom w:val="nil"/>
              <w:right w:val="nil"/>
            </w:tcBorders>
          </w:tcPr>
          <w:p w14:paraId="10C982AB"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(538.988)</w:t>
            </w:r>
          </w:p>
        </w:tc>
      </w:tr>
      <w:tr w:rsidR="009E1D45" w:rsidRPr="000E0BBF" w14:paraId="59DF7CD4" w14:textId="77777777" w:rsidTr="001019DE">
        <w:trPr>
          <w:trHeight w:val="281"/>
        </w:trPr>
        <w:tc>
          <w:tcPr>
            <w:tcW w:w="4337" w:type="dxa"/>
            <w:tcBorders>
              <w:top w:val="nil"/>
              <w:left w:val="nil"/>
              <w:bottom w:val="nil"/>
              <w:right w:val="nil"/>
            </w:tcBorders>
          </w:tcPr>
          <w:p w14:paraId="1CE5D1FA"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r w:rsidRPr="000E0BBF">
              <w:rPr>
                <w:rFonts w:ascii="Times New Roman" w:hAnsi="Times New Roman" w:cs="Times New Roman"/>
                <w:kern w:val="0"/>
              </w:rPr>
              <w:t xml:space="preserve">Percent </w:t>
            </w:r>
            <w:proofErr w:type="gramStart"/>
            <w:r w:rsidRPr="000E0BBF">
              <w:rPr>
                <w:rFonts w:ascii="Times New Roman" w:hAnsi="Times New Roman" w:cs="Times New Roman"/>
                <w:kern w:val="0"/>
              </w:rPr>
              <w:t>Non-White</w:t>
            </w:r>
            <w:proofErr w:type="gramEnd"/>
          </w:p>
        </w:tc>
        <w:tc>
          <w:tcPr>
            <w:tcW w:w="2770" w:type="dxa"/>
            <w:tcBorders>
              <w:top w:val="nil"/>
              <w:left w:val="nil"/>
              <w:bottom w:val="nil"/>
              <w:right w:val="nil"/>
            </w:tcBorders>
          </w:tcPr>
          <w:p w14:paraId="37B51EA4"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-180.421</w:t>
            </w:r>
          </w:p>
        </w:tc>
        <w:tc>
          <w:tcPr>
            <w:tcW w:w="2770" w:type="dxa"/>
            <w:tcBorders>
              <w:top w:val="nil"/>
              <w:left w:val="nil"/>
              <w:bottom w:val="nil"/>
              <w:right w:val="nil"/>
            </w:tcBorders>
          </w:tcPr>
          <w:p w14:paraId="3A65439C"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-207.053</w:t>
            </w:r>
          </w:p>
        </w:tc>
      </w:tr>
      <w:tr w:rsidR="009E1D45" w:rsidRPr="000E0BBF" w14:paraId="07E07DAE" w14:textId="77777777" w:rsidTr="001019DE">
        <w:trPr>
          <w:trHeight w:val="303"/>
        </w:trPr>
        <w:tc>
          <w:tcPr>
            <w:tcW w:w="4337" w:type="dxa"/>
            <w:tcBorders>
              <w:top w:val="nil"/>
              <w:left w:val="nil"/>
              <w:bottom w:val="nil"/>
              <w:right w:val="nil"/>
            </w:tcBorders>
          </w:tcPr>
          <w:p w14:paraId="6DC4C3F4"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770" w:type="dxa"/>
            <w:tcBorders>
              <w:top w:val="nil"/>
              <w:left w:val="nil"/>
              <w:bottom w:val="nil"/>
              <w:right w:val="nil"/>
            </w:tcBorders>
          </w:tcPr>
          <w:p w14:paraId="309E59E8"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(490.247)</w:t>
            </w:r>
          </w:p>
        </w:tc>
        <w:tc>
          <w:tcPr>
            <w:tcW w:w="2770" w:type="dxa"/>
            <w:tcBorders>
              <w:top w:val="nil"/>
              <w:left w:val="nil"/>
              <w:bottom w:val="nil"/>
              <w:right w:val="nil"/>
            </w:tcBorders>
          </w:tcPr>
          <w:p w14:paraId="45EBF345"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(565.083)</w:t>
            </w:r>
          </w:p>
        </w:tc>
      </w:tr>
      <w:tr w:rsidR="009E1D45" w:rsidRPr="000E0BBF" w14:paraId="0E355285" w14:textId="77777777" w:rsidTr="001019DE">
        <w:trPr>
          <w:trHeight w:val="303"/>
        </w:trPr>
        <w:tc>
          <w:tcPr>
            <w:tcW w:w="4337" w:type="dxa"/>
            <w:tcBorders>
              <w:top w:val="nil"/>
              <w:left w:val="nil"/>
              <w:bottom w:val="nil"/>
              <w:right w:val="nil"/>
            </w:tcBorders>
          </w:tcPr>
          <w:p w14:paraId="4A4226FF"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r w:rsidRPr="000E0BBF">
              <w:rPr>
                <w:rFonts w:ascii="Times New Roman" w:hAnsi="Times New Roman" w:cs="Times New Roman"/>
                <w:kern w:val="0"/>
              </w:rPr>
              <w:t xml:space="preserve">Percent Econ. </w:t>
            </w:r>
            <w:proofErr w:type="spellStart"/>
            <w:r w:rsidRPr="000E0BBF">
              <w:rPr>
                <w:rFonts w:ascii="Times New Roman" w:hAnsi="Times New Roman" w:cs="Times New Roman"/>
                <w:kern w:val="0"/>
              </w:rPr>
              <w:t>Disad</w:t>
            </w:r>
            <w:proofErr w:type="spellEnd"/>
            <w:r w:rsidRPr="000E0BBF">
              <w:rPr>
                <w:rFonts w:ascii="Times New Roman" w:hAnsi="Times New Roman" w:cs="Times New Roman"/>
                <w:kern w:val="0"/>
              </w:rPr>
              <w:t>.</w:t>
            </w:r>
          </w:p>
        </w:tc>
        <w:tc>
          <w:tcPr>
            <w:tcW w:w="2770" w:type="dxa"/>
            <w:tcBorders>
              <w:top w:val="nil"/>
              <w:left w:val="nil"/>
              <w:bottom w:val="nil"/>
              <w:right w:val="nil"/>
            </w:tcBorders>
          </w:tcPr>
          <w:p w14:paraId="66DED39C"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110.589</w:t>
            </w:r>
          </w:p>
        </w:tc>
        <w:tc>
          <w:tcPr>
            <w:tcW w:w="2770" w:type="dxa"/>
            <w:tcBorders>
              <w:top w:val="nil"/>
              <w:left w:val="nil"/>
              <w:bottom w:val="nil"/>
              <w:right w:val="nil"/>
            </w:tcBorders>
          </w:tcPr>
          <w:p w14:paraId="0D68F2BF"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134.621</w:t>
            </w:r>
          </w:p>
        </w:tc>
      </w:tr>
      <w:tr w:rsidR="009E1D45" w:rsidRPr="000E0BBF" w14:paraId="62FB0BC4" w14:textId="77777777" w:rsidTr="001019DE">
        <w:trPr>
          <w:trHeight w:val="303"/>
        </w:trPr>
        <w:tc>
          <w:tcPr>
            <w:tcW w:w="4337" w:type="dxa"/>
            <w:tcBorders>
              <w:top w:val="nil"/>
              <w:left w:val="nil"/>
              <w:bottom w:val="nil"/>
              <w:right w:val="nil"/>
            </w:tcBorders>
          </w:tcPr>
          <w:p w14:paraId="2EAB7695"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770" w:type="dxa"/>
            <w:tcBorders>
              <w:top w:val="nil"/>
              <w:left w:val="nil"/>
              <w:bottom w:val="nil"/>
              <w:right w:val="nil"/>
            </w:tcBorders>
          </w:tcPr>
          <w:p w14:paraId="02F109CD"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(156.417)</w:t>
            </w:r>
          </w:p>
        </w:tc>
        <w:tc>
          <w:tcPr>
            <w:tcW w:w="2770" w:type="dxa"/>
            <w:tcBorders>
              <w:top w:val="nil"/>
              <w:left w:val="nil"/>
              <w:bottom w:val="nil"/>
              <w:right w:val="nil"/>
            </w:tcBorders>
          </w:tcPr>
          <w:p w14:paraId="74119E83"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(187.935)</w:t>
            </w:r>
          </w:p>
        </w:tc>
      </w:tr>
      <w:tr w:rsidR="009E1D45" w:rsidRPr="000E0BBF" w14:paraId="26CCCD09" w14:textId="77777777" w:rsidTr="001019DE">
        <w:trPr>
          <w:trHeight w:val="303"/>
        </w:trPr>
        <w:tc>
          <w:tcPr>
            <w:tcW w:w="4337" w:type="dxa"/>
            <w:tcBorders>
              <w:top w:val="nil"/>
              <w:left w:val="nil"/>
              <w:bottom w:val="nil"/>
              <w:right w:val="nil"/>
            </w:tcBorders>
          </w:tcPr>
          <w:p w14:paraId="53FF387E"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r w:rsidRPr="000E0BBF">
              <w:rPr>
                <w:rFonts w:ascii="Times New Roman" w:hAnsi="Times New Roman" w:cs="Times New Roman"/>
                <w:kern w:val="0"/>
              </w:rPr>
              <w:t>Percent SWD</w:t>
            </w:r>
          </w:p>
        </w:tc>
        <w:tc>
          <w:tcPr>
            <w:tcW w:w="2770" w:type="dxa"/>
            <w:tcBorders>
              <w:top w:val="nil"/>
              <w:left w:val="nil"/>
              <w:bottom w:val="nil"/>
              <w:right w:val="nil"/>
            </w:tcBorders>
          </w:tcPr>
          <w:p w14:paraId="01270EE5"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166.175</w:t>
            </w:r>
          </w:p>
        </w:tc>
        <w:tc>
          <w:tcPr>
            <w:tcW w:w="2770" w:type="dxa"/>
            <w:tcBorders>
              <w:top w:val="nil"/>
              <w:left w:val="nil"/>
              <w:bottom w:val="nil"/>
              <w:right w:val="nil"/>
            </w:tcBorders>
          </w:tcPr>
          <w:p w14:paraId="527327DB"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426.679</w:t>
            </w:r>
          </w:p>
        </w:tc>
      </w:tr>
      <w:tr w:rsidR="009E1D45" w:rsidRPr="000E0BBF" w14:paraId="03A527E0" w14:textId="77777777" w:rsidTr="001019DE">
        <w:trPr>
          <w:trHeight w:val="281"/>
        </w:trPr>
        <w:tc>
          <w:tcPr>
            <w:tcW w:w="4337" w:type="dxa"/>
            <w:tcBorders>
              <w:top w:val="nil"/>
              <w:left w:val="nil"/>
              <w:bottom w:val="nil"/>
              <w:right w:val="nil"/>
            </w:tcBorders>
          </w:tcPr>
          <w:p w14:paraId="19E2945C"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770" w:type="dxa"/>
            <w:tcBorders>
              <w:top w:val="nil"/>
              <w:left w:val="nil"/>
              <w:bottom w:val="nil"/>
              <w:right w:val="nil"/>
            </w:tcBorders>
          </w:tcPr>
          <w:p w14:paraId="246248D8"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(443.943)</w:t>
            </w:r>
          </w:p>
        </w:tc>
        <w:tc>
          <w:tcPr>
            <w:tcW w:w="2770" w:type="dxa"/>
            <w:tcBorders>
              <w:top w:val="nil"/>
              <w:left w:val="nil"/>
              <w:bottom w:val="nil"/>
              <w:right w:val="nil"/>
            </w:tcBorders>
          </w:tcPr>
          <w:p w14:paraId="69913B84"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(565.242)</w:t>
            </w:r>
          </w:p>
        </w:tc>
      </w:tr>
      <w:tr w:rsidR="009E1D45" w:rsidRPr="000E0BBF" w14:paraId="043EAEF4" w14:textId="77777777" w:rsidTr="001019DE">
        <w:trPr>
          <w:trHeight w:val="303"/>
        </w:trPr>
        <w:tc>
          <w:tcPr>
            <w:tcW w:w="4337" w:type="dxa"/>
            <w:tcBorders>
              <w:top w:val="nil"/>
              <w:left w:val="nil"/>
              <w:bottom w:val="nil"/>
              <w:right w:val="nil"/>
            </w:tcBorders>
          </w:tcPr>
          <w:p w14:paraId="71F76595"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r w:rsidRPr="000E0BBF">
              <w:rPr>
                <w:rFonts w:ascii="Times New Roman" w:hAnsi="Times New Roman" w:cs="Times New Roman"/>
                <w:kern w:val="0"/>
              </w:rPr>
              <w:t>Log ISD Enrollment</w:t>
            </w:r>
          </w:p>
        </w:tc>
        <w:tc>
          <w:tcPr>
            <w:tcW w:w="2770" w:type="dxa"/>
            <w:tcBorders>
              <w:top w:val="nil"/>
              <w:left w:val="nil"/>
              <w:bottom w:val="nil"/>
              <w:right w:val="nil"/>
            </w:tcBorders>
          </w:tcPr>
          <w:p w14:paraId="3B010196"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176.296</w:t>
            </w:r>
          </w:p>
        </w:tc>
        <w:tc>
          <w:tcPr>
            <w:tcW w:w="2770" w:type="dxa"/>
            <w:tcBorders>
              <w:top w:val="nil"/>
              <w:left w:val="nil"/>
              <w:bottom w:val="nil"/>
              <w:right w:val="nil"/>
            </w:tcBorders>
          </w:tcPr>
          <w:p w14:paraId="30A6A618"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252.058</w:t>
            </w:r>
            <w:r>
              <w:rPr>
                <w:rFonts w:ascii="Times New Roman" w:hAnsi="Times New Roman" w:cs="Times New Roman"/>
                <w:kern w:val="0"/>
                <w:vertAlign w:val="superscript"/>
              </w:rPr>
              <w:t>*</w:t>
            </w:r>
          </w:p>
        </w:tc>
      </w:tr>
      <w:tr w:rsidR="009E1D45" w:rsidRPr="000E0BBF" w14:paraId="02C358BC" w14:textId="77777777" w:rsidTr="001019DE">
        <w:trPr>
          <w:trHeight w:val="303"/>
        </w:trPr>
        <w:tc>
          <w:tcPr>
            <w:tcW w:w="4337" w:type="dxa"/>
            <w:tcBorders>
              <w:top w:val="nil"/>
              <w:left w:val="nil"/>
              <w:bottom w:val="single" w:sz="4" w:space="0" w:color="auto"/>
              <w:right w:val="nil"/>
            </w:tcBorders>
          </w:tcPr>
          <w:p w14:paraId="73CA7E03"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2770" w:type="dxa"/>
            <w:tcBorders>
              <w:top w:val="nil"/>
              <w:left w:val="nil"/>
              <w:bottom w:val="single" w:sz="4" w:space="0" w:color="auto"/>
              <w:right w:val="nil"/>
            </w:tcBorders>
          </w:tcPr>
          <w:p w14:paraId="3A511BD9"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(133.878)</w:t>
            </w:r>
          </w:p>
        </w:tc>
        <w:tc>
          <w:tcPr>
            <w:tcW w:w="2770" w:type="dxa"/>
            <w:tcBorders>
              <w:top w:val="nil"/>
              <w:left w:val="nil"/>
              <w:bottom w:val="single" w:sz="4" w:space="0" w:color="auto"/>
              <w:right w:val="nil"/>
            </w:tcBorders>
          </w:tcPr>
          <w:p w14:paraId="54A616BE"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(143.802)</w:t>
            </w:r>
          </w:p>
        </w:tc>
      </w:tr>
      <w:tr w:rsidR="009E1D45" w:rsidRPr="000E0BBF" w14:paraId="74DD0C2A" w14:textId="77777777" w:rsidTr="001019DE">
        <w:trPr>
          <w:trHeight w:val="281"/>
        </w:trPr>
        <w:tc>
          <w:tcPr>
            <w:tcW w:w="4337" w:type="dxa"/>
            <w:tcBorders>
              <w:top w:val="single" w:sz="4" w:space="0" w:color="auto"/>
              <w:left w:val="nil"/>
              <w:right w:val="nil"/>
            </w:tcBorders>
          </w:tcPr>
          <w:p w14:paraId="1B2FD261"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r w:rsidRPr="000E0BBF">
              <w:rPr>
                <w:rFonts w:ascii="Times New Roman" w:hAnsi="Times New Roman" w:cs="Times New Roman"/>
                <w:kern w:val="0"/>
              </w:rPr>
              <w:t>Millage Rate Functional Form</w:t>
            </w:r>
          </w:p>
        </w:tc>
        <w:tc>
          <w:tcPr>
            <w:tcW w:w="2770" w:type="dxa"/>
            <w:tcBorders>
              <w:top w:val="single" w:sz="4" w:space="0" w:color="auto"/>
              <w:left w:val="nil"/>
              <w:right w:val="nil"/>
            </w:tcBorders>
          </w:tcPr>
          <w:p w14:paraId="14A6A1EB"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sidRPr="000E0BBF">
              <w:rPr>
                <w:rFonts w:ascii="Times New Roman" w:hAnsi="Times New Roman" w:cs="Times New Roman"/>
                <w:kern w:val="0"/>
              </w:rPr>
              <w:t>Linear</w:t>
            </w:r>
          </w:p>
        </w:tc>
        <w:tc>
          <w:tcPr>
            <w:tcW w:w="2770" w:type="dxa"/>
            <w:tcBorders>
              <w:top w:val="single" w:sz="4" w:space="0" w:color="auto"/>
              <w:left w:val="nil"/>
              <w:right w:val="nil"/>
            </w:tcBorders>
          </w:tcPr>
          <w:p w14:paraId="579E7435"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sidRPr="000E0BBF">
              <w:rPr>
                <w:rFonts w:ascii="Times New Roman" w:hAnsi="Times New Roman" w:cs="Times New Roman"/>
                <w:kern w:val="0"/>
              </w:rPr>
              <w:t>Quadratic</w:t>
            </w:r>
          </w:p>
        </w:tc>
      </w:tr>
      <w:tr w:rsidR="009E1D45" w:rsidRPr="000E0BBF" w14:paraId="27AC9477" w14:textId="77777777" w:rsidTr="001019DE">
        <w:trPr>
          <w:trHeight w:val="303"/>
        </w:trPr>
        <w:tc>
          <w:tcPr>
            <w:tcW w:w="4337" w:type="dxa"/>
            <w:tcBorders>
              <w:left w:val="nil"/>
              <w:bottom w:val="single" w:sz="4" w:space="0" w:color="auto"/>
              <w:right w:val="nil"/>
            </w:tcBorders>
          </w:tcPr>
          <w:p w14:paraId="5F288B36" w14:textId="77777777" w:rsidR="009E1D45" w:rsidRPr="000E0BBF" w:rsidRDefault="009E1D45" w:rsidP="001019DE">
            <w:pPr>
              <w:widowControl w:val="0"/>
              <w:autoSpaceDE w:val="0"/>
              <w:autoSpaceDN w:val="0"/>
              <w:adjustRightInd w:val="0"/>
              <w:spacing w:after="0" w:line="240" w:lineRule="auto"/>
              <w:rPr>
                <w:rFonts w:ascii="Times New Roman" w:hAnsi="Times New Roman" w:cs="Times New Roman"/>
                <w:kern w:val="0"/>
              </w:rPr>
            </w:pPr>
            <w:r w:rsidRPr="000E0BBF">
              <w:rPr>
                <w:rFonts w:ascii="Times New Roman" w:hAnsi="Times New Roman" w:cs="Times New Roman"/>
                <w:kern w:val="0"/>
              </w:rPr>
              <w:t>Observations</w:t>
            </w:r>
          </w:p>
        </w:tc>
        <w:tc>
          <w:tcPr>
            <w:tcW w:w="2770" w:type="dxa"/>
            <w:tcBorders>
              <w:left w:val="nil"/>
              <w:bottom w:val="single" w:sz="4" w:space="0" w:color="auto"/>
              <w:right w:val="nil"/>
            </w:tcBorders>
          </w:tcPr>
          <w:p w14:paraId="31717C4C"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2770" w:type="dxa"/>
            <w:tcBorders>
              <w:left w:val="nil"/>
              <w:bottom w:val="single" w:sz="4" w:space="0" w:color="auto"/>
              <w:right w:val="nil"/>
            </w:tcBorders>
          </w:tcPr>
          <w:p w14:paraId="69BA35BD" w14:textId="77777777" w:rsidR="009E1D45" w:rsidRPr="000E0BBF"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5956</w:t>
            </w:r>
          </w:p>
        </w:tc>
      </w:tr>
    </w:tbl>
    <w:p w14:paraId="22C855ED" w14:textId="77777777" w:rsidR="009E1D45" w:rsidRPr="000E0BBF"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0E0BBF">
        <w:rPr>
          <w:rFonts w:ascii="Times New Roman" w:hAnsi="Times New Roman" w:cs="Times New Roman"/>
          <w:i/>
          <w:iCs/>
          <w:sz w:val="20"/>
          <w:szCs w:val="20"/>
        </w:rPr>
        <w:t xml:space="preserve">Notes: Average causal response estimates from Equation (1) aggregated using the weighted average of estimates in Equation (2). Dosage represents a continuous measure of the increase in the millage of the special education property tax in each ISD. Columns (1) and (2) present estimates from models with the dosage in a linear functional form, and columns (3) and (4) present models with a quadratic functional form. All standard errors clustered at the ISD-level and unconditional on covariates.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0.1,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0.05, </w:t>
      </w:r>
      <w:r w:rsidRPr="000E0BBF">
        <w:rPr>
          <w:rFonts w:ascii="Times New Roman" w:hAnsi="Times New Roman" w:cs="Times New Roman"/>
          <w:kern w:val="0"/>
          <w:sz w:val="20"/>
          <w:szCs w:val="20"/>
          <w:vertAlign w:val="superscript"/>
        </w:rPr>
        <w:t>***</w:t>
      </w:r>
      <w:r w:rsidRPr="000E0BBF">
        <w:rPr>
          <w:rFonts w:ascii="Times New Roman" w:hAnsi="Times New Roman" w:cs="Times New Roman"/>
          <w:kern w:val="0"/>
          <w:sz w:val="20"/>
          <w:szCs w:val="20"/>
        </w:rPr>
        <w:t xml:space="preserve"> </w:t>
      </w:r>
      <w:r w:rsidRPr="000E0BBF">
        <w:rPr>
          <w:rFonts w:ascii="Times New Roman" w:hAnsi="Times New Roman" w:cs="Times New Roman"/>
          <w:i/>
          <w:iCs/>
          <w:kern w:val="0"/>
          <w:sz w:val="20"/>
          <w:szCs w:val="20"/>
        </w:rPr>
        <w:t>p</w:t>
      </w:r>
      <w:r w:rsidRPr="000E0BBF">
        <w:rPr>
          <w:rFonts w:ascii="Times New Roman" w:hAnsi="Times New Roman" w:cs="Times New Roman"/>
          <w:kern w:val="0"/>
          <w:sz w:val="20"/>
          <w:szCs w:val="20"/>
        </w:rPr>
        <w:t xml:space="preserve"> &lt; 0.01</w:t>
      </w:r>
    </w:p>
    <w:p w14:paraId="7A951D84" w14:textId="77777777" w:rsidR="009E1D45" w:rsidRPr="000E0BBF" w:rsidRDefault="009E1D45" w:rsidP="009E1D45">
      <w:pPr>
        <w:jc w:val="center"/>
        <w:rPr>
          <w:rFonts w:ascii="Times New Roman" w:hAnsi="Times New Roman" w:cs="Times New Roman"/>
          <w:b/>
          <w:bCs/>
        </w:rPr>
      </w:pPr>
    </w:p>
    <w:p w14:paraId="459A488A" w14:textId="77777777" w:rsidR="009E1D45" w:rsidRPr="000E0BBF" w:rsidRDefault="009E1D45" w:rsidP="009E1D45">
      <w:pPr>
        <w:jc w:val="center"/>
        <w:rPr>
          <w:rFonts w:ascii="Times New Roman" w:hAnsi="Times New Roman" w:cs="Times New Roman"/>
          <w:b/>
          <w:bCs/>
        </w:rPr>
      </w:pPr>
    </w:p>
    <w:p w14:paraId="4ADDAC13" w14:textId="77777777" w:rsidR="009E1D45" w:rsidRPr="000E0BBF" w:rsidRDefault="009E1D45" w:rsidP="009E1D45">
      <w:pPr>
        <w:jc w:val="center"/>
        <w:rPr>
          <w:rFonts w:ascii="Times New Roman" w:hAnsi="Times New Roman" w:cs="Times New Roman"/>
          <w:b/>
          <w:bCs/>
        </w:rPr>
      </w:pPr>
    </w:p>
    <w:p w14:paraId="351F3BDB" w14:textId="77777777" w:rsidR="009E1D45" w:rsidRPr="000E0BBF" w:rsidRDefault="009E1D45" w:rsidP="009E1D45">
      <w:pPr>
        <w:jc w:val="center"/>
        <w:rPr>
          <w:rFonts w:ascii="Times New Roman" w:hAnsi="Times New Roman" w:cs="Times New Roman"/>
          <w:b/>
          <w:bCs/>
        </w:rPr>
      </w:pPr>
    </w:p>
    <w:p w14:paraId="0A480A11" w14:textId="77777777" w:rsidR="009E1D45" w:rsidRDefault="009E1D45" w:rsidP="009E1D45">
      <w:pPr>
        <w:jc w:val="center"/>
        <w:rPr>
          <w:rFonts w:ascii="Times New Roman" w:hAnsi="Times New Roman" w:cs="Times New Roman"/>
          <w:b/>
          <w:bCs/>
        </w:rPr>
      </w:pPr>
    </w:p>
    <w:p w14:paraId="08B6E8EC" w14:textId="77777777" w:rsidR="009E1D45" w:rsidRDefault="009E1D45" w:rsidP="009E1D45">
      <w:pPr>
        <w:jc w:val="center"/>
        <w:rPr>
          <w:rFonts w:ascii="Times New Roman" w:hAnsi="Times New Roman" w:cs="Times New Roman"/>
          <w:b/>
          <w:bCs/>
        </w:rPr>
      </w:pPr>
    </w:p>
    <w:p w14:paraId="6C1268CB" w14:textId="77777777" w:rsidR="009E1D45" w:rsidRDefault="009E1D45" w:rsidP="009E1D45">
      <w:pPr>
        <w:jc w:val="center"/>
        <w:rPr>
          <w:rFonts w:ascii="Times New Roman" w:hAnsi="Times New Roman" w:cs="Times New Roman"/>
          <w:b/>
          <w:bCs/>
        </w:rPr>
      </w:pPr>
    </w:p>
    <w:p w14:paraId="194B2364" w14:textId="77777777" w:rsidR="009E1D45" w:rsidRDefault="009E1D45" w:rsidP="009E1D45">
      <w:pPr>
        <w:jc w:val="center"/>
        <w:rPr>
          <w:rFonts w:ascii="Times New Roman" w:hAnsi="Times New Roman" w:cs="Times New Roman"/>
          <w:b/>
          <w:bCs/>
        </w:rPr>
      </w:pPr>
    </w:p>
    <w:p w14:paraId="72997F87" w14:textId="77777777" w:rsidR="009E1D45" w:rsidRDefault="009E1D45" w:rsidP="009E1D45">
      <w:pPr>
        <w:jc w:val="center"/>
        <w:rPr>
          <w:rFonts w:ascii="Times New Roman" w:hAnsi="Times New Roman" w:cs="Times New Roman"/>
          <w:b/>
          <w:bCs/>
        </w:rPr>
      </w:pPr>
    </w:p>
    <w:p w14:paraId="05BE53D6" w14:textId="77777777" w:rsidR="009E1D45" w:rsidRDefault="009E1D45" w:rsidP="009E1D45">
      <w:pPr>
        <w:jc w:val="center"/>
        <w:rPr>
          <w:rFonts w:ascii="Times New Roman" w:hAnsi="Times New Roman" w:cs="Times New Roman"/>
          <w:b/>
          <w:bCs/>
        </w:rPr>
      </w:pPr>
    </w:p>
    <w:p w14:paraId="71A2DA88" w14:textId="77777777" w:rsidR="009E1D45" w:rsidRDefault="009E1D45" w:rsidP="009E1D45">
      <w:pPr>
        <w:jc w:val="center"/>
        <w:rPr>
          <w:rFonts w:ascii="Times New Roman" w:hAnsi="Times New Roman" w:cs="Times New Roman"/>
          <w:b/>
          <w:bCs/>
        </w:rPr>
      </w:pPr>
    </w:p>
    <w:p w14:paraId="0FA6908A" w14:textId="77777777" w:rsidR="009E1D45" w:rsidRDefault="009E1D45" w:rsidP="009E1D45">
      <w:pPr>
        <w:jc w:val="center"/>
        <w:rPr>
          <w:rFonts w:ascii="Times New Roman" w:hAnsi="Times New Roman" w:cs="Times New Roman"/>
          <w:b/>
          <w:bCs/>
        </w:rPr>
      </w:pPr>
    </w:p>
    <w:p w14:paraId="0403BEA6" w14:textId="77777777" w:rsidR="009E1D45" w:rsidRDefault="009E1D45" w:rsidP="009E1D45">
      <w:pPr>
        <w:jc w:val="center"/>
        <w:rPr>
          <w:rFonts w:ascii="Times New Roman" w:hAnsi="Times New Roman" w:cs="Times New Roman"/>
          <w:b/>
          <w:bCs/>
        </w:rPr>
      </w:pPr>
    </w:p>
    <w:p w14:paraId="1EB5A8D8" w14:textId="77777777" w:rsidR="009E1D45" w:rsidRPr="00667704" w:rsidRDefault="009E1D45" w:rsidP="009E1D45">
      <w:pPr>
        <w:jc w:val="center"/>
        <w:rPr>
          <w:rFonts w:ascii="Times New Roman" w:hAnsi="Times New Roman" w:cs="Times New Roman"/>
          <w:b/>
          <w:bCs/>
        </w:rPr>
      </w:pPr>
      <w:r w:rsidRPr="00667704">
        <w:rPr>
          <w:rFonts w:ascii="Times New Roman" w:hAnsi="Times New Roman" w:cs="Times New Roman"/>
          <w:b/>
          <w:bCs/>
        </w:rPr>
        <w:lastRenderedPageBreak/>
        <w:t xml:space="preserve">Table </w:t>
      </w:r>
      <w:r>
        <w:rPr>
          <w:rFonts w:ascii="Times New Roman" w:hAnsi="Times New Roman" w:cs="Times New Roman"/>
          <w:b/>
          <w:bCs/>
        </w:rPr>
        <w:t>A7</w:t>
      </w:r>
      <w:r w:rsidRPr="00667704">
        <w:rPr>
          <w:rFonts w:ascii="Times New Roman" w:hAnsi="Times New Roman" w:cs="Times New Roman"/>
          <w:b/>
          <w:bCs/>
        </w:rPr>
        <w:t xml:space="preserve">: Average Causal Response of </w:t>
      </w:r>
      <w:r>
        <w:rPr>
          <w:rFonts w:ascii="Times New Roman" w:hAnsi="Times New Roman" w:cs="Times New Roman"/>
          <w:b/>
          <w:bCs/>
        </w:rPr>
        <w:t xml:space="preserve">School District-Level </w:t>
      </w:r>
      <w:r w:rsidRPr="00667704">
        <w:rPr>
          <w:rFonts w:ascii="Times New Roman" w:hAnsi="Times New Roman" w:cs="Times New Roman"/>
          <w:b/>
          <w:bCs/>
        </w:rPr>
        <w:t xml:space="preserve">Special Education </w:t>
      </w:r>
      <w:r>
        <w:rPr>
          <w:rFonts w:ascii="Times New Roman" w:hAnsi="Times New Roman" w:cs="Times New Roman"/>
          <w:b/>
          <w:bCs/>
        </w:rPr>
        <w:t xml:space="preserve">Expenditures </w:t>
      </w:r>
      <w:r w:rsidRPr="00667704">
        <w:rPr>
          <w:rFonts w:ascii="Times New Roman" w:hAnsi="Times New Roman" w:cs="Times New Roman"/>
          <w:b/>
          <w:bCs/>
        </w:rPr>
        <w:t xml:space="preserve">following </w:t>
      </w:r>
      <w:r>
        <w:rPr>
          <w:rFonts w:ascii="Times New Roman" w:hAnsi="Times New Roman" w:cs="Times New Roman"/>
          <w:b/>
          <w:bCs/>
        </w:rPr>
        <w:t>Earmarked Property Tax</w:t>
      </w:r>
      <w:r w:rsidRPr="00667704">
        <w:rPr>
          <w:rFonts w:ascii="Times New Roman" w:hAnsi="Times New Roman" w:cs="Times New Roman"/>
          <w:b/>
          <w:bCs/>
        </w:rPr>
        <w:t xml:space="preserve"> Increase</w:t>
      </w:r>
      <w:r>
        <w:rPr>
          <w:rFonts w:ascii="Times New Roman" w:hAnsi="Times New Roman" w:cs="Times New Roman"/>
          <w:b/>
          <w:bCs/>
        </w:rPr>
        <w:t>, by Expenditure Type</w:t>
      </w:r>
    </w:p>
    <w:tbl>
      <w:tblPr>
        <w:tblW w:w="11160" w:type="dxa"/>
        <w:jc w:val="center"/>
        <w:tblLayout w:type="fixed"/>
        <w:tblLook w:val="0000" w:firstRow="0" w:lastRow="0" w:firstColumn="0" w:lastColumn="0" w:noHBand="0" w:noVBand="0"/>
      </w:tblPr>
      <w:tblGrid>
        <w:gridCol w:w="2402"/>
        <w:gridCol w:w="1459"/>
        <w:gridCol w:w="1460"/>
        <w:gridCol w:w="1460"/>
        <w:gridCol w:w="1459"/>
        <w:gridCol w:w="1460"/>
        <w:gridCol w:w="1460"/>
      </w:tblGrid>
      <w:tr w:rsidR="009E1D45" w14:paraId="4779A892" w14:textId="77777777" w:rsidTr="001019DE">
        <w:trPr>
          <w:trHeight w:val="590"/>
          <w:jc w:val="center"/>
        </w:trPr>
        <w:tc>
          <w:tcPr>
            <w:tcW w:w="2402" w:type="dxa"/>
            <w:tcBorders>
              <w:top w:val="single" w:sz="4" w:space="0" w:color="auto"/>
              <w:left w:val="nil"/>
              <w:bottom w:val="nil"/>
              <w:right w:val="nil"/>
            </w:tcBorders>
          </w:tcPr>
          <w:p w14:paraId="3A1B2556"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single" w:sz="4" w:space="0" w:color="auto"/>
              <w:left w:val="nil"/>
              <w:bottom w:val="nil"/>
              <w:right w:val="nil"/>
            </w:tcBorders>
          </w:tcPr>
          <w:p w14:paraId="3E7416E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Salaries</w:t>
            </w:r>
          </w:p>
        </w:tc>
        <w:tc>
          <w:tcPr>
            <w:tcW w:w="1460" w:type="dxa"/>
            <w:tcBorders>
              <w:top w:val="single" w:sz="4" w:space="0" w:color="auto"/>
              <w:left w:val="nil"/>
              <w:bottom w:val="nil"/>
              <w:right w:val="nil"/>
            </w:tcBorders>
          </w:tcPr>
          <w:p w14:paraId="06A0754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Benefits</w:t>
            </w:r>
          </w:p>
        </w:tc>
        <w:tc>
          <w:tcPr>
            <w:tcW w:w="1460" w:type="dxa"/>
            <w:tcBorders>
              <w:top w:val="single" w:sz="4" w:space="0" w:color="auto"/>
              <w:left w:val="nil"/>
              <w:bottom w:val="nil"/>
              <w:right w:val="nil"/>
            </w:tcBorders>
          </w:tcPr>
          <w:p w14:paraId="54BF6C2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Purchased Services</w:t>
            </w:r>
          </w:p>
        </w:tc>
        <w:tc>
          <w:tcPr>
            <w:tcW w:w="1459" w:type="dxa"/>
            <w:tcBorders>
              <w:top w:val="single" w:sz="4" w:space="0" w:color="auto"/>
              <w:left w:val="nil"/>
              <w:bottom w:val="nil"/>
              <w:right w:val="nil"/>
            </w:tcBorders>
          </w:tcPr>
          <w:p w14:paraId="4EA4BB5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Supplies</w:t>
            </w:r>
          </w:p>
        </w:tc>
        <w:tc>
          <w:tcPr>
            <w:tcW w:w="1460" w:type="dxa"/>
            <w:tcBorders>
              <w:top w:val="single" w:sz="4" w:space="0" w:color="auto"/>
              <w:left w:val="nil"/>
              <w:bottom w:val="nil"/>
              <w:right w:val="nil"/>
            </w:tcBorders>
          </w:tcPr>
          <w:p w14:paraId="20B46BD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Payments to School Districts/ ISDs</w:t>
            </w:r>
          </w:p>
        </w:tc>
        <w:tc>
          <w:tcPr>
            <w:tcW w:w="1460" w:type="dxa"/>
            <w:tcBorders>
              <w:top w:val="single" w:sz="4" w:space="0" w:color="auto"/>
              <w:left w:val="nil"/>
              <w:bottom w:val="nil"/>
              <w:right w:val="nil"/>
            </w:tcBorders>
          </w:tcPr>
          <w:p w14:paraId="4499485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Other</w:t>
            </w:r>
          </w:p>
        </w:tc>
      </w:tr>
      <w:tr w:rsidR="009E1D45" w14:paraId="5C6B853D" w14:textId="77777777" w:rsidTr="001019DE">
        <w:trPr>
          <w:trHeight w:val="305"/>
          <w:jc w:val="center"/>
        </w:trPr>
        <w:tc>
          <w:tcPr>
            <w:tcW w:w="2402" w:type="dxa"/>
            <w:tcBorders>
              <w:left w:val="nil"/>
              <w:bottom w:val="nil"/>
              <w:right w:val="nil"/>
            </w:tcBorders>
          </w:tcPr>
          <w:p w14:paraId="2144B6E4"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left w:val="nil"/>
              <w:bottom w:val="nil"/>
              <w:right w:val="nil"/>
            </w:tcBorders>
          </w:tcPr>
          <w:p w14:paraId="6429181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w:t>
            </w:r>
          </w:p>
        </w:tc>
        <w:tc>
          <w:tcPr>
            <w:tcW w:w="1460" w:type="dxa"/>
            <w:tcBorders>
              <w:left w:val="nil"/>
              <w:bottom w:val="nil"/>
              <w:right w:val="nil"/>
            </w:tcBorders>
          </w:tcPr>
          <w:p w14:paraId="178E7E0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w:t>
            </w:r>
          </w:p>
        </w:tc>
        <w:tc>
          <w:tcPr>
            <w:tcW w:w="1460" w:type="dxa"/>
            <w:tcBorders>
              <w:left w:val="nil"/>
              <w:bottom w:val="nil"/>
              <w:right w:val="nil"/>
            </w:tcBorders>
          </w:tcPr>
          <w:p w14:paraId="5085B18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w:t>
            </w:r>
          </w:p>
        </w:tc>
        <w:tc>
          <w:tcPr>
            <w:tcW w:w="1459" w:type="dxa"/>
            <w:tcBorders>
              <w:left w:val="nil"/>
              <w:bottom w:val="nil"/>
              <w:right w:val="nil"/>
            </w:tcBorders>
          </w:tcPr>
          <w:p w14:paraId="33F9545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w:t>
            </w:r>
          </w:p>
        </w:tc>
        <w:tc>
          <w:tcPr>
            <w:tcW w:w="1460" w:type="dxa"/>
            <w:tcBorders>
              <w:left w:val="nil"/>
              <w:bottom w:val="nil"/>
              <w:right w:val="nil"/>
            </w:tcBorders>
          </w:tcPr>
          <w:p w14:paraId="7F25CA4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w:t>
            </w:r>
          </w:p>
        </w:tc>
        <w:tc>
          <w:tcPr>
            <w:tcW w:w="1460" w:type="dxa"/>
            <w:tcBorders>
              <w:left w:val="nil"/>
              <w:bottom w:val="nil"/>
              <w:right w:val="nil"/>
            </w:tcBorders>
          </w:tcPr>
          <w:p w14:paraId="67CDC78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w:t>
            </w:r>
          </w:p>
        </w:tc>
      </w:tr>
      <w:tr w:rsidR="009E1D45" w14:paraId="7FC86B7D" w14:textId="77777777" w:rsidTr="001019DE">
        <w:trPr>
          <w:trHeight w:val="284"/>
          <w:jc w:val="center"/>
        </w:trPr>
        <w:tc>
          <w:tcPr>
            <w:tcW w:w="2402" w:type="dxa"/>
            <w:tcBorders>
              <w:top w:val="single" w:sz="4" w:space="0" w:color="auto"/>
              <w:left w:val="nil"/>
              <w:bottom w:val="nil"/>
              <w:right w:val="nil"/>
            </w:tcBorders>
          </w:tcPr>
          <w:p w14:paraId="23E36C26"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ACR</w:t>
            </w:r>
          </w:p>
        </w:tc>
        <w:tc>
          <w:tcPr>
            <w:tcW w:w="1459" w:type="dxa"/>
            <w:tcBorders>
              <w:top w:val="single" w:sz="4" w:space="0" w:color="auto"/>
              <w:left w:val="nil"/>
              <w:bottom w:val="nil"/>
              <w:right w:val="nil"/>
            </w:tcBorders>
          </w:tcPr>
          <w:p w14:paraId="66B8B25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-38.312</w:t>
            </w:r>
          </w:p>
        </w:tc>
        <w:tc>
          <w:tcPr>
            <w:tcW w:w="1460" w:type="dxa"/>
            <w:tcBorders>
              <w:top w:val="single" w:sz="4" w:space="0" w:color="auto"/>
              <w:left w:val="nil"/>
              <w:bottom w:val="nil"/>
              <w:right w:val="nil"/>
            </w:tcBorders>
          </w:tcPr>
          <w:p w14:paraId="569F7B5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-11.511</w:t>
            </w:r>
          </w:p>
        </w:tc>
        <w:tc>
          <w:tcPr>
            <w:tcW w:w="1460" w:type="dxa"/>
            <w:tcBorders>
              <w:top w:val="single" w:sz="4" w:space="0" w:color="auto"/>
              <w:left w:val="nil"/>
              <w:bottom w:val="nil"/>
              <w:right w:val="nil"/>
            </w:tcBorders>
          </w:tcPr>
          <w:p w14:paraId="3F4BA57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5.299</w:t>
            </w:r>
          </w:p>
        </w:tc>
        <w:tc>
          <w:tcPr>
            <w:tcW w:w="1459" w:type="dxa"/>
            <w:tcBorders>
              <w:top w:val="single" w:sz="4" w:space="0" w:color="auto"/>
              <w:left w:val="nil"/>
              <w:bottom w:val="nil"/>
              <w:right w:val="nil"/>
            </w:tcBorders>
          </w:tcPr>
          <w:p w14:paraId="5418103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-1.343</w:t>
            </w:r>
          </w:p>
        </w:tc>
        <w:tc>
          <w:tcPr>
            <w:tcW w:w="1460" w:type="dxa"/>
            <w:tcBorders>
              <w:top w:val="single" w:sz="4" w:space="0" w:color="auto"/>
              <w:left w:val="nil"/>
              <w:bottom w:val="nil"/>
              <w:right w:val="nil"/>
            </w:tcBorders>
          </w:tcPr>
          <w:p w14:paraId="3A33C29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10.684</w:t>
            </w:r>
            <w:r>
              <w:rPr>
                <w:rFonts w:ascii="Times New Roman" w:hAnsi="Times New Roman" w:cs="Times New Roman"/>
                <w:kern w:val="0"/>
                <w:vertAlign w:val="superscript"/>
              </w:rPr>
              <w:t>*</w:t>
            </w:r>
          </w:p>
        </w:tc>
        <w:tc>
          <w:tcPr>
            <w:tcW w:w="1460" w:type="dxa"/>
            <w:tcBorders>
              <w:top w:val="single" w:sz="4" w:space="0" w:color="auto"/>
              <w:left w:val="nil"/>
              <w:bottom w:val="nil"/>
              <w:right w:val="nil"/>
            </w:tcBorders>
          </w:tcPr>
          <w:p w14:paraId="6EBDBB5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-34.597</w:t>
            </w:r>
          </w:p>
        </w:tc>
      </w:tr>
      <w:tr w:rsidR="009E1D45" w14:paraId="38145CFB" w14:textId="77777777" w:rsidTr="001019DE">
        <w:trPr>
          <w:trHeight w:val="305"/>
          <w:jc w:val="center"/>
        </w:trPr>
        <w:tc>
          <w:tcPr>
            <w:tcW w:w="2402" w:type="dxa"/>
            <w:tcBorders>
              <w:top w:val="nil"/>
              <w:left w:val="nil"/>
              <w:bottom w:val="nil"/>
              <w:right w:val="nil"/>
            </w:tcBorders>
          </w:tcPr>
          <w:p w14:paraId="46D0A2D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4D047C8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(26.432)</w:t>
            </w:r>
          </w:p>
        </w:tc>
        <w:tc>
          <w:tcPr>
            <w:tcW w:w="1460" w:type="dxa"/>
            <w:tcBorders>
              <w:top w:val="nil"/>
              <w:left w:val="nil"/>
              <w:bottom w:val="nil"/>
              <w:right w:val="nil"/>
            </w:tcBorders>
          </w:tcPr>
          <w:p w14:paraId="402B3AF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(10.759)</w:t>
            </w:r>
          </w:p>
        </w:tc>
        <w:tc>
          <w:tcPr>
            <w:tcW w:w="1460" w:type="dxa"/>
            <w:tcBorders>
              <w:top w:val="nil"/>
              <w:left w:val="nil"/>
              <w:bottom w:val="nil"/>
              <w:right w:val="nil"/>
            </w:tcBorders>
          </w:tcPr>
          <w:p w14:paraId="5582C8D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(3.181)</w:t>
            </w:r>
          </w:p>
        </w:tc>
        <w:tc>
          <w:tcPr>
            <w:tcW w:w="1459" w:type="dxa"/>
            <w:tcBorders>
              <w:top w:val="nil"/>
              <w:left w:val="nil"/>
              <w:bottom w:val="nil"/>
              <w:right w:val="nil"/>
            </w:tcBorders>
          </w:tcPr>
          <w:p w14:paraId="15608EA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(0.902)</w:t>
            </w:r>
          </w:p>
        </w:tc>
        <w:tc>
          <w:tcPr>
            <w:tcW w:w="1460" w:type="dxa"/>
            <w:tcBorders>
              <w:top w:val="nil"/>
              <w:left w:val="nil"/>
              <w:bottom w:val="nil"/>
              <w:right w:val="nil"/>
            </w:tcBorders>
          </w:tcPr>
          <w:p w14:paraId="344DFB6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(6.310)</w:t>
            </w:r>
          </w:p>
        </w:tc>
        <w:tc>
          <w:tcPr>
            <w:tcW w:w="1460" w:type="dxa"/>
            <w:tcBorders>
              <w:top w:val="nil"/>
              <w:left w:val="nil"/>
              <w:bottom w:val="nil"/>
              <w:right w:val="nil"/>
            </w:tcBorders>
          </w:tcPr>
          <w:p w14:paraId="2EB3857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(52.228)</w:t>
            </w:r>
          </w:p>
        </w:tc>
      </w:tr>
      <w:tr w:rsidR="009E1D45" w14:paraId="44D6EC1A" w14:textId="77777777" w:rsidTr="001019DE">
        <w:trPr>
          <w:trHeight w:val="305"/>
          <w:jc w:val="center"/>
        </w:trPr>
        <w:tc>
          <w:tcPr>
            <w:tcW w:w="2402" w:type="dxa"/>
            <w:tcBorders>
              <w:top w:val="nil"/>
              <w:left w:val="nil"/>
              <w:bottom w:val="nil"/>
              <w:right w:val="nil"/>
            </w:tcBorders>
          </w:tcPr>
          <w:p w14:paraId="003FE3D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Rural</w:t>
            </w:r>
          </w:p>
        </w:tc>
        <w:tc>
          <w:tcPr>
            <w:tcW w:w="1459" w:type="dxa"/>
            <w:tcBorders>
              <w:top w:val="nil"/>
              <w:left w:val="nil"/>
              <w:bottom w:val="nil"/>
              <w:right w:val="nil"/>
            </w:tcBorders>
          </w:tcPr>
          <w:p w14:paraId="2E14CD6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-349.220</w:t>
            </w:r>
          </w:p>
        </w:tc>
        <w:tc>
          <w:tcPr>
            <w:tcW w:w="1460" w:type="dxa"/>
            <w:tcBorders>
              <w:top w:val="nil"/>
              <w:left w:val="nil"/>
              <w:bottom w:val="nil"/>
              <w:right w:val="nil"/>
            </w:tcBorders>
          </w:tcPr>
          <w:p w14:paraId="6F19C76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-215.141</w:t>
            </w:r>
          </w:p>
        </w:tc>
        <w:tc>
          <w:tcPr>
            <w:tcW w:w="1460" w:type="dxa"/>
            <w:tcBorders>
              <w:top w:val="nil"/>
              <w:left w:val="nil"/>
              <w:bottom w:val="nil"/>
              <w:right w:val="nil"/>
            </w:tcBorders>
          </w:tcPr>
          <w:p w14:paraId="4B02DB5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-14.276</w:t>
            </w:r>
          </w:p>
        </w:tc>
        <w:tc>
          <w:tcPr>
            <w:tcW w:w="1459" w:type="dxa"/>
            <w:tcBorders>
              <w:top w:val="nil"/>
              <w:left w:val="nil"/>
              <w:bottom w:val="nil"/>
              <w:right w:val="nil"/>
            </w:tcBorders>
          </w:tcPr>
          <w:p w14:paraId="47A538E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-8.964</w:t>
            </w:r>
          </w:p>
        </w:tc>
        <w:tc>
          <w:tcPr>
            <w:tcW w:w="1460" w:type="dxa"/>
            <w:tcBorders>
              <w:top w:val="nil"/>
              <w:left w:val="nil"/>
              <w:bottom w:val="nil"/>
              <w:right w:val="nil"/>
            </w:tcBorders>
          </w:tcPr>
          <w:p w14:paraId="2884B46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-68.990</w:t>
            </w:r>
          </w:p>
        </w:tc>
        <w:tc>
          <w:tcPr>
            <w:tcW w:w="1460" w:type="dxa"/>
            <w:tcBorders>
              <w:top w:val="nil"/>
              <w:left w:val="nil"/>
              <w:bottom w:val="nil"/>
              <w:right w:val="nil"/>
            </w:tcBorders>
          </w:tcPr>
          <w:p w14:paraId="0609E65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191.837</w:t>
            </w:r>
          </w:p>
        </w:tc>
      </w:tr>
      <w:tr w:rsidR="009E1D45" w14:paraId="314BC03E" w14:textId="77777777" w:rsidTr="001019DE">
        <w:trPr>
          <w:trHeight w:val="305"/>
          <w:jc w:val="center"/>
        </w:trPr>
        <w:tc>
          <w:tcPr>
            <w:tcW w:w="2402" w:type="dxa"/>
            <w:tcBorders>
              <w:top w:val="nil"/>
              <w:left w:val="nil"/>
              <w:bottom w:val="nil"/>
              <w:right w:val="nil"/>
            </w:tcBorders>
          </w:tcPr>
          <w:p w14:paraId="042C806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3A45E86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(287.049)</w:t>
            </w:r>
          </w:p>
        </w:tc>
        <w:tc>
          <w:tcPr>
            <w:tcW w:w="1460" w:type="dxa"/>
            <w:tcBorders>
              <w:top w:val="nil"/>
              <w:left w:val="nil"/>
              <w:bottom w:val="nil"/>
              <w:right w:val="nil"/>
            </w:tcBorders>
          </w:tcPr>
          <w:p w14:paraId="26F15EC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(182.625)</w:t>
            </w:r>
          </w:p>
        </w:tc>
        <w:tc>
          <w:tcPr>
            <w:tcW w:w="1460" w:type="dxa"/>
            <w:tcBorders>
              <w:top w:val="nil"/>
              <w:left w:val="nil"/>
              <w:bottom w:val="nil"/>
              <w:right w:val="nil"/>
            </w:tcBorders>
          </w:tcPr>
          <w:p w14:paraId="14CCF9D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(13.290)</w:t>
            </w:r>
          </w:p>
        </w:tc>
        <w:tc>
          <w:tcPr>
            <w:tcW w:w="1459" w:type="dxa"/>
            <w:tcBorders>
              <w:top w:val="nil"/>
              <w:left w:val="nil"/>
              <w:bottom w:val="nil"/>
              <w:right w:val="nil"/>
            </w:tcBorders>
          </w:tcPr>
          <w:p w14:paraId="1698896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(9.176)</w:t>
            </w:r>
          </w:p>
        </w:tc>
        <w:tc>
          <w:tcPr>
            <w:tcW w:w="1460" w:type="dxa"/>
            <w:tcBorders>
              <w:top w:val="nil"/>
              <w:left w:val="nil"/>
              <w:bottom w:val="nil"/>
              <w:right w:val="nil"/>
            </w:tcBorders>
          </w:tcPr>
          <w:p w14:paraId="74DB793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(54.773)</w:t>
            </w:r>
          </w:p>
        </w:tc>
        <w:tc>
          <w:tcPr>
            <w:tcW w:w="1460" w:type="dxa"/>
            <w:tcBorders>
              <w:top w:val="nil"/>
              <w:left w:val="nil"/>
              <w:bottom w:val="nil"/>
              <w:right w:val="nil"/>
            </w:tcBorders>
          </w:tcPr>
          <w:p w14:paraId="22C66CE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(485.827)</w:t>
            </w:r>
          </w:p>
        </w:tc>
      </w:tr>
      <w:tr w:rsidR="009E1D45" w14:paraId="5808267D" w14:textId="77777777" w:rsidTr="001019DE">
        <w:trPr>
          <w:trHeight w:val="305"/>
          <w:jc w:val="center"/>
        </w:trPr>
        <w:tc>
          <w:tcPr>
            <w:tcW w:w="2402" w:type="dxa"/>
            <w:tcBorders>
              <w:top w:val="nil"/>
              <w:left w:val="nil"/>
              <w:bottom w:val="nil"/>
              <w:right w:val="nil"/>
            </w:tcBorders>
          </w:tcPr>
          <w:p w14:paraId="421ACF75"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Female</w:t>
            </w:r>
          </w:p>
        </w:tc>
        <w:tc>
          <w:tcPr>
            <w:tcW w:w="1459" w:type="dxa"/>
            <w:tcBorders>
              <w:top w:val="nil"/>
              <w:left w:val="nil"/>
              <w:bottom w:val="nil"/>
              <w:right w:val="nil"/>
            </w:tcBorders>
          </w:tcPr>
          <w:p w14:paraId="1995998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311.943</w:t>
            </w:r>
          </w:p>
        </w:tc>
        <w:tc>
          <w:tcPr>
            <w:tcW w:w="1460" w:type="dxa"/>
            <w:tcBorders>
              <w:top w:val="nil"/>
              <w:left w:val="nil"/>
              <w:bottom w:val="nil"/>
              <w:right w:val="nil"/>
            </w:tcBorders>
          </w:tcPr>
          <w:p w14:paraId="1B301B6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150.936</w:t>
            </w:r>
          </w:p>
        </w:tc>
        <w:tc>
          <w:tcPr>
            <w:tcW w:w="1460" w:type="dxa"/>
            <w:tcBorders>
              <w:top w:val="nil"/>
              <w:left w:val="nil"/>
              <w:bottom w:val="nil"/>
              <w:right w:val="nil"/>
            </w:tcBorders>
          </w:tcPr>
          <w:p w14:paraId="1F97F0D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29.697</w:t>
            </w:r>
          </w:p>
        </w:tc>
        <w:tc>
          <w:tcPr>
            <w:tcW w:w="1459" w:type="dxa"/>
            <w:tcBorders>
              <w:top w:val="nil"/>
              <w:left w:val="nil"/>
              <w:bottom w:val="nil"/>
              <w:right w:val="nil"/>
            </w:tcBorders>
          </w:tcPr>
          <w:p w14:paraId="22FF71A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10.394</w:t>
            </w:r>
          </w:p>
        </w:tc>
        <w:tc>
          <w:tcPr>
            <w:tcW w:w="1460" w:type="dxa"/>
            <w:tcBorders>
              <w:top w:val="nil"/>
              <w:left w:val="nil"/>
              <w:bottom w:val="nil"/>
              <w:right w:val="nil"/>
            </w:tcBorders>
          </w:tcPr>
          <w:p w14:paraId="3CB8C03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66.165</w:t>
            </w:r>
          </w:p>
        </w:tc>
        <w:tc>
          <w:tcPr>
            <w:tcW w:w="1460" w:type="dxa"/>
            <w:tcBorders>
              <w:top w:val="nil"/>
              <w:left w:val="nil"/>
              <w:bottom w:val="nil"/>
              <w:right w:val="nil"/>
            </w:tcBorders>
          </w:tcPr>
          <w:p w14:paraId="16B27A3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-315.495</w:t>
            </w:r>
          </w:p>
        </w:tc>
      </w:tr>
      <w:tr w:rsidR="009E1D45" w14:paraId="65BBC86D" w14:textId="77777777" w:rsidTr="001019DE">
        <w:trPr>
          <w:trHeight w:val="305"/>
          <w:jc w:val="center"/>
        </w:trPr>
        <w:tc>
          <w:tcPr>
            <w:tcW w:w="2402" w:type="dxa"/>
            <w:tcBorders>
              <w:top w:val="nil"/>
              <w:left w:val="nil"/>
              <w:bottom w:val="nil"/>
              <w:right w:val="nil"/>
            </w:tcBorders>
          </w:tcPr>
          <w:p w14:paraId="4BB9695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230A357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(254.850)</w:t>
            </w:r>
          </w:p>
        </w:tc>
        <w:tc>
          <w:tcPr>
            <w:tcW w:w="1460" w:type="dxa"/>
            <w:tcBorders>
              <w:top w:val="nil"/>
              <w:left w:val="nil"/>
              <w:bottom w:val="nil"/>
              <w:right w:val="nil"/>
            </w:tcBorders>
          </w:tcPr>
          <w:p w14:paraId="59B13B4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(118.804)</w:t>
            </w:r>
          </w:p>
        </w:tc>
        <w:tc>
          <w:tcPr>
            <w:tcW w:w="1460" w:type="dxa"/>
            <w:tcBorders>
              <w:top w:val="nil"/>
              <w:left w:val="nil"/>
              <w:bottom w:val="nil"/>
              <w:right w:val="nil"/>
            </w:tcBorders>
          </w:tcPr>
          <w:p w14:paraId="7F3B8C4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(20.962)</w:t>
            </w:r>
          </w:p>
        </w:tc>
        <w:tc>
          <w:tcPr>
            <w:tcW w:w="1459" w:type="dxa"/>
            <w:tcBorders>
              <w:top w:val="nil"/>
              <w:left w:val="nil"/>
              <w:bottom w:val="nil"/>
              <w:right w:val="nil"/>
            </w:tcBorders>
          </w:tcPr>
          <w:p w14:paraId="2A813AD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(8.545)</w:t>
            </w:r>
          </w:p>
        </w:tc>
        <w:tc>
          <w:tcPr>
            <w:tcW w:w="1460" w:type="dxa"/>
            <w:tcBorders>
              <w:top w:val="nil"/>
              <w:left w:val="nil"/>
              <w:bottom w:val="nil"/>
              <w:right w:val="nil"/>
            </w:tcBorders>
          </w:tcPr>
          <w:p w14:paraId="3ABB02A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(44.832)</w:t>
            </w:r>
          </w:p>
        </w:tc>
        <w:tc>
          <w:tcPr>
            <w:tcW w:w="1460" w:type="dxa"/>
            <w:tcBorders>
              <w:top w:val="nil"/>
              <w:left w:val="nil"/>
              <w:bottom w:val="nil"/>
              <w:right w:val="nil"/>
            </w:tcBorders>
          </w:tcPr>
          <w:p w14:paraId="3362860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(277.324)</w:t>
            </w:r>
          </w:p>
        </w:tc>
      </w:tr>
      <w:tr w:rsidR="009E1D45" w14:paraId="3AFE1B92" w14:textId="77777777" w:rsidTr="001019DE">
        <w:trPr>
          <w:trHeight w:val="284"/>
          <w:jc w:val="center"/>
        </w:trPr>
        <w:tc>
          <w:tcPr>
            <w:tcW w:w="2402" w:type="dxa"/>
            <w:tcBorders>
              <w:top w:val="nil"/>
              <w:left w:val="nil"/>
              <w:bottom w:val="nil"/>
              <w:right w:val="nil"/>
            </w:tcBorders>
          </w:tcPr>
          <w:p w14:paraId="7004E54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w:t>
            </w:r>
            <w:proofErr w:type="gramStart"/>
            <w:r>
              <w:rPr>
                <w:rFonts w:ascii="Times New Roman" w:hAnsi="Times New Roman" w:cs="Times New Roman"/>
                <w:kern w:val="0"/>
              </w:rPr>
              <w:t>Non-White</w:t>
            </w:r>
            <w:proofErr w:type="gramEnd"/>
          </w:p>
        </w:tc>
        <w:tc>
          <w:tcPr>
            <w:tcW w:w="1459" w:type="dxa"/>
            <w:tcBorders>
              <w:top w:val="nil"/>
              <w:left w:val="nil"/>
              <w:bottom w:val="nil"/>
              <w:right w:val="nil"/>
            </w:tcBorders>
          </w:tcPr>
          <w:p w14:paraId="06DD7D7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129.079</w:t>
            </w:r>
          </w:p>
        </w:tc>
        <w:tc>
          <w:tcPr>
            <w:tcW w:w="1460" w:type="dxa"/>
            <w:tcBorders>
              <w:top w:val="nil"/>
              <w:left w:val="nil"/>
              <w:bottom w:val="nil"/>
              <w:right w:val="nil"/>
            </w:tcBorders>
          </w:tcPr>
          <w:p w14:paraId="7A21E9A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38.386</w:t>
            </w:r>
            <w:r>
              <w:rPr>
                <w:rFonts w:ascii="Times New Roman" w:hAnsi="Times New Roman" w:cs="Times New Roman"/>
                <w:kern w:val="0"/>
                <w:vertAlign w:val="superscript"/>
              </w:rPr>
              <w:t>*</w:t>
            </w:r>
          </w:p>
        </w:tc>
        <w:tc>
          <w:tcPr>
            <w:tcW w:w="1460" w:type="dxa"/>
            <w:tcBorders>
              <w:top w:val="nil"/>
              <w:left w:val="nil"/>
              <w:bottom w:val="nil"/>
              <w:right w:val="nil"/>
            </w:tcBorders>
          </w:tcPr>
          <w:p w14:paraId="020DC62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24.295</w:t>
            </w:r>
          </w:p>
        </w:tc>
        <w:tc>
          <w:tcPr>
            <w:tcW w:w="1459" w:type="dxa"/>
            <w:tcBorders>
              <w:top w:val="nil"/>
              <w:left w:val="nil"/>
              <w:bottom w:val="nil"/>
              <w:right w:val="nil"/>
            </w:tcBorders>
          </w:tcPr>
          <w:p w14:paraId="65784E4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4.752</w:t>
            </w:r>
          </w:p>
        </w:tc>
        <w:tc>
          <w:tcPr>
            <w:tcW w:w="1460" w:type="dxa"/>
            <w:tcBorders>
              <w:top w:val="nil"/>
              <w:left w:val="nil"/>
              <w:bottom w:val="nil"/>
              <w:right w:val="nil"/>
            </w:tcBorders>
          </w:tcPr>
          <w:p w14:paraId="5360519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-3.964</w:t>
            </w:r>
          </w:p>
        </w:tc>
        <w:tc>
          <w:tcPr>
            <w:tcW w:w="1460" w:type="dxa"/>
            <w:tcBorders>
              <w:top w:val="nil"/>
              <w:left w:val="nil"/>
              <w:bottom w:val="nil"/>
              <w:right w:val="nil"/>
            </w:tcBorders>
          </w:tcPr>
          <w:p w14:paraId="3126DD2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345.141</w:t>
            </w:r>
            <w:r>
              <w:rPr>
                <w:rFonts w:ascii="Times New Roman" w:hAnsi="Times New Roman" w:cs="Times New Roman"/>
                <w:kern w:val="0"/>
                <w:vertAlign w:val="superscript"/>
              </w:rPr>
              <w:t>**</w:t>
            </w:r>
          </w:p>
        </w:tc>
      </w:tr>
      <w:tr w:rsidR="009E1D45" w14:paraId="63C59E8F" w14:textId="77777777" w:rsidTr="001019DE">
        <w:trPr>
          <w:trHeight w:val="305"/>
          <w:jc w:val="center"/>
        </w:trPr>
        <w:tc>
          <w:tcPr>
            <w:tcW w:w="2402" w:type="dxa"/>
            <w:tcBorders>
              <w:top w:val="nil"/>
              <w:left w:val="nil"/>
              <w:bottom w:val="nil"/>
              <w:right w:val="nil"/>
            </w:tcBorders>
          </w:tcPr>
          <w:p w14:paraId="41748F0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2FA0A57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(79.150)</w:t>
            </w:r>
          </w:p>
        </w:tc>
        <w:tc>
          <w:tcPr>
            <w:tcW w:w="1460" w:type="dxa"/>
            <w:tcBorders>
              <w:top w:val="nil"/>
              <w:left w:val="nil"/>
              <w:bottom w:val="nil"/>
              <w:right w:val="nil"/>
            </w:tcBorders>
          </w:tcPr>
          <w:p w14:paraId="40F975F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(19.435)</w:t>
            </w:r>
          </w:p>
        </w:tc>
        <w:tc>
          <w:tcPr>
            <w:tcW w:w="1460" w:type="dxa"/>
            <w:tcBorders>
              <w:top w:val="nil"/>
              <w:left w:val="nil"/>
              <w:bottom w:val="nil"/>
              <w:right w:val="nil"/>
            </w:tcBorders>
          </w:tcPr>
          <w:p w14:paraId="3D3052F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(17.746)</w:t>
            </w:r>
          </w:p>
        </w:tc>
        <w:tc>
          <w:tcPr>
            <w:tcW w:w="1459" w:type="dxa"/>
            <w:tcBorders>
              <w:top w:val="nil"/>
              <w:left w:val="nil"/>
              <w:bottom w:val="nil"/>
              <w:right w:val="nil"/>
            </w:tcBorders>
          </w:tcPr>
          <w:p w14:paraId="01EC72D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(3.278)</w:t>
            </w:r>
          </w:p>
        </w:tc>
        <w:tc>
          <w:tcPr>
            <w:tcW w:w="1460" w:type="dxa"/>
            <w:tcBorders>
              <w:top w:val="nil"/>
              <w:left w:val="nil"/>
              <w:bottom w:val="nil"/>
              <w:right w:val="nil"/>
            </w:tcBorders>
          </w:tcPr>
          <w:p w14:paraId="66FEDED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(15.166)</w:t>
            </w:r>
          </w:p>
        </w:tc>
        <w:tc>
          <w:tcPr>
            <w:tcW w:w="1460" w:type="dxa"/>
            <w:tcBorders>
              <w:top w:val="nil"/>
              <w:left w:val="nil"/>
              <w:bottom w:val="nil"/>
              <w:right w:val="nil"/>
            </w:tcBorders>
          </w:tcPr>
          <w:p w14:paraId="5AB819E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(154.449)</w:t>
            </w:r>
          </w:p>
        </w:tc>
      </w:tr>
      <w:tr w:rsidR="009E1D45" w14:paraId="18855B23" w14:textId="77777777" w:rsidTr="001019DE">
        <w:trPr>
          <w:trHeight w:val="305"/>
          <w:jc w:val="center"/>
        </w:trPr>
        <w:tc>
          <w:tcPr>
            <w:tcW w:w="2402" w:type="dxa"/>
            <w:tcBorders>
              <w:top w:val="nil"/>
              <w:left w:val="nil"/>
              <w:bottom w:val="nil"/>
              <w:right w:val="nil"/>
            </w:tcBorders>
          </w:tcPr>
          <w:p w14:paraId="2F60BB47"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Econ. </w:t>
            </w:r>
            <w:proofErr w:type="spellStart"/>
            <w:r>
              <w:rPr>
                <w:rFonts w:ascii="Times New Roman" w:hAnsi="Times New Roman" w:cs="Times New Roman"/>
                <w:kern w:val="0"/>
              </w:rPr>
              <w:t>Disad</w:t>
            </w:r>
            <w:proofErr w:type="spellEnd"/>
            <w:r>
              <w:rPr>
                <w:rFonts w:ascii="Times New Roman" w:hAnsi="Times New Roman" w:cs="Times New Roman"/>
                <w:kern w:val="0"/>
              </w:rPr>
              <w:t>.</w:t>
            </w:r>
          </w:p>
        </w:tc>
        <w:tc>
          <w:tcPr>
            <w:tcW w:w="1459" w:type="dxa"/>
            <w:tcBorders>
              <w:top w:val="nil"/>
              <w:left w:val="nil"/>
              <w:bottom w:val="nil"/>
              <w:right w:val="nil"/>
            </w:tcBorders>
          </w:tcPr>
          <w:p w14:paraId="2CFD58C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1943.978</w:t>
            </w:r>
          </w:p>
        </w:tc>
        <w:tc>
          <w:tcPr>
            <w:tcW w:w="1460" w:type="dxa"/>
            <w:tcBorders>
              <w:top w:val="nil"/>
              <w:left w:val="nil"/>
              <w:bottom w:val="nil"/>
              <w:right w:val="nil"/>
            </w:tcBorders>
          </w:tcPr>
          <w:p w14:paraId="0E4396C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1134.841</w:t>
            </w:r>
          </w:p>
        </w:tc>
        <w:tc>
          <w:tcPr>
            <w:tcW w:w="1460" w:type="dxa"/>
            <w:tcBorders>
              <w:top w:val="nil"/>
              <w:left w:val="nil"/>
              <w:bottom w:val="nil"/>
              <w:right w:val="nil"/>
            </w:tcBorders>
          </w:tcPr>
          <w:p w14:paraId="51FCD50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183.111</w:t>
            </w:r>
          </w:p>
        </w:tc>
        <w:tc>
          <w:tcPr>
            <w:tcW w:w="1459" w:type="dxa"/>
            <w:tcBorders>
              <w:top w:val="nil"/>
              <w:left w:val="nil"/>
              <w:bottom w:val="nil"/>
              <w:right w:val="nil"/>
            </w:tcBorders>
          </w:tcPr>
          <w:p w14:paraId="6B85E50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62.796</w:t>
            </w:r>
          </w:p>
        </w:tc>
        <w:tc>
          <w:tcPr>
            <w:tcW w:w="1460" w:type="dxa"/>
            <w:tcBorders>
              <w:top w:val="nil"/>
              <w:left w:val="nil"/>
              <w:bottom w:val="nil"/>
              <w:right w:val="nil"/>
            </w:tcBorders>
          </w:tcPr>
          <w:p w14:paraId="0AB03C2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500.785</w:t>
            </w:r>
          </w:p>
        </w:tc>
        <w:tc>
          <w:tcPr>
            <w:tcW w:w="1460" w:type="dxa"/>
            <w:tcBorders>
              <w:top w:val="nil"/>
              <w:left w:val="nil"/>
              <w:bottom w:val="nil"/>
              <w:right w:val="nil"/>
            </w:tcBorders>
          </w:tcPr>
          <w:p w14:paraId="26013CC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5025.670</w:t>
            </w:r>
            <w:r>
              <w:rPr>
                <w:rFonts w:ascii="Times New Roman" w:hAnsi="Times New Roman" w:cs="Times New Roman"/>
                <w:kern w:val="0"/>
                <w:vertAlign w:val="superscript"/>
              </w:rPr>
              <w:t>***</w:t>
            </w:r>
          </w:p>
        </w:tc>
      </w:tr>
      <w:tr w:rsidR="009E1D45" w14:paraId="04BA9E20" w14:textId="77777777" w:rsidTr="001019DE">
        <w:trPr>
          <w:trHeight w:val="305"/>
          <w:jc w:val="center"/>
        </w:trPr>
        <w:tc>
          <w:tcPr>
            <w:tcW w:w="2402" w:type="dxa"/>
            <w:tcBorders>
              <w:top w:val="nil"/>
              <w:left w:val="nil"/>
              <w:bottom w:val="nil"/>
              <w:right w:val="nil"/>
            </w:tcBorders>
          </w:tcPr>
          <w:p w14:paraId="4F06141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373CE5E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(1623.554)</w:t>
            </w:r>
          </w:p>
        </w:tc>
        <w:tc>
          <w:tcPr>
            <w:tcW w:w="1460" w:type="dxa"/>
            <w:tcBorders>
              <w:top w:val="nil"/>
              <w:left w:val="nil"/>
              <w:bottom w:val="nil"/>
              <w:right w:val="nil"/>
            </w:tcBorders>
          </w:tcPr>
          <w:p w14:paraId="364BE5C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(959.945)</w:t>
            </w:r>
          </w:p>
        </w:tc>
        <w:tc>
          <w:tcPr>
            <w:tcW w:w="1460" w:type="dxa"/>
            <w:tcBorders>
              <w:top w:val="nil"/>
              <w:left w:val="nil"/>
              <w:bottom w:val="nil"/>
              <w:right w:val="nil"/>
            </w:tcBorders>
          </w:tcPr>
          <w:p w14:paraId="18BB7CA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(154.048)</w:t>
            </w:r>
          </w:p>
        </w:tc>
        <w:tc>
          <w:tcPr>
            <w:tcW w:w="1459" w:type="dxa"/>
            <w:tcBorders>
              <w:top w:val="nil"/>
              <w:left w:val="nil"/>
              <w:bottom w:val="nil"/>
              <w:right w:val="nil"/>
            </w:tcBorders>
          </w:tcPr>
          <w:p w14:paraId="6BA9FFB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(51.812)</w:t>
            </w:r>
          </w:p>
        </w:tc>
        <w:tc>
          <w:tcPr>
            <w:tcW w:w="1460" w:type="dxa"/>
            <w:tcBorders>
              <w:top w:val="nil"/>
              <w:left w:val="nil"/>
              <w:bottom w:val="nil"/>
              <w:right w:val="nil"/>
            </w:tcBorders>
          </w:tcPr>
          <w:p w14:paraId="73C2E7C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(428.240)</w:t>
            </w:r>
          </w:p>
        </w:tc>
        <w:tc>
          <w:tcPr>
            <w:tcW w:w="1460" w:type="dxa"/>
            <w:tcBorders>
              <w:top w:val="nil"/>
              <w:left w:val="nil"/>
              <w:bottom w:val="nil"/>
              <w:right w:val="nil"/>
            </w:tcBorders>
          </w:tcPr>
          <w:p w14:paraId="17431CF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(829.057)</w:t>
            </w:r>
          </w:p>
        </w:tc>
      </w:tr>
      <w:tr w:rsidR="009E1D45" w14:paraId="4121BF29" w14:textId="77777777" w:rsidTr="001019DE">
        <w:trPr>
          <w:trHeight w:val="305"/>
          <w:jc w:val="center"/>
        </w:trPr>
        <w:tc>
          <w:tcPr>
            <w:tcW w:w="2402" w:type="dxa"/>
            <w:tcBorders>
              <w:top w:val="nil"/>
              <w:left w:val="nil"/>
              <w:bottom w:val="nil"/>
              <w:right w:val="nil"/>
            </w:tcBorders>
          </w:tcPr>
          <w:p w14:paraId="0650F12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SWD</w:t>
            </w:r>
          </w:p>
        </w:tc>
        <w:tc>
          <w:tcPr>
            <w:tcW w:w="1459" w:type="dxa"/>
            <w:tcBorders>
              <w:top w:val="nil"/>
              <w:left w:val="nil"/>
              <w:bottom w:val="nil"/>
              <w:right w:val="nil"/>
            </w:tcBorders>
          </w:tcPr>
          <w:p w14:paraId="6A40B34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148.614</w:t>
            </w:r>
          </w:p>
        </w:tc>
        <w:tc>
          <w:tcPr>
            <w:tcW w:w="1460" w:type="dxa"/>
            <w:tcBorders>
              <w:top w:val="nil"/>
              <w:left w:val="nil"/>
              <w:bottom w:val="nil"/>
              <w:right w:val="nil"/>
            </w:tcBorders>
          </w:tcPr>
          <w:p w14:paraId="4F2B38A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73.515</w:t>
            </w:r>
          </w:p>
        </w:tc>
        <w:tc>
          <w:tcPr>
            <w:tcW w:w="1460" w:type="dxa"/>
            <w:tcBorders>
              <w:top w:val="nil"/>
              <w:left w:val="nil"/>
              <w:bottom w:val="nil"/>
              <w:right w:val="nil"/>
            </w:tcBorders>
          </w:tcPr>
          <w:p w14:paraId="482A75C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13.296</w:t>
            </w:r>
          </w:p>
        </w:tc>
        <w:tc>
          <w:tcPr>
            <w:tcW w:w="1459" w:type="dxa"/>
            <w:tcBorders>
              <w:top w:val="nil"/>
              <w:left w:val="nil"/>
              <w:bottom w:val="nil"/>
              <w:right w:val="nil"/>
            </w:tcBorders>
          </w:tcPr>
          <w:p w14:paraId="1FF4415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4.958</w:t>
            </w:r>
          </w:p>
        </w:tc>
        <w:tc>
          <w:tcPr>
            <w:tcW w:w="1460" w:type="dxa"/>
            <w:tcBorders>
              <w:top w:val="nil"/>
              <w:left w:val="nil"/>
              <w:bottom w:val="nil"/>
              <w:right w:val="nil"/>
            </w:tcBorders>
          </w:tcPr>
          <w:p w14:paraId="787B3A0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18.564</w:t>
            </w:r>
          </w:p>
        </w:tc>
        <w:tc>
          <w:tcPr>
            <w:tcW w:w="1460" w:type="dxa"/>
            <w:tcBorders>
              <w:top w:val="nil"/>
              <w:left w:val="nil"/>
              <w:bottom w:val="nil"/>
              <w:right w:val="nil"/>
            </w:tcBorders>
          </w:tcPr>
          <w:p w14:paraId="2A6D60A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267.074</w:t>
            </w:r>
          </w:p>
        </w:tc>
      </w:tr>
      <w:tr w:rsidR="009E1D45" w14:paraId="2386F05E" w14:textId="77777777" w:rsidTr="001019DE">
        <w:trPr>
          <w:trHeight w:val="284"/>
          <w:jc w:val="center"/>
        </w:trPr>
        <w:tc>
          <w:tcPr>
            <w:tcW w:w="2402" w:type="dxa"/>
            <w:tcBorders>
              <w:top w:val="nil"/>
              <w:left w:val="nil"/>
              <w:bottom w:val="nil"/>
              <w:right w:val="nil"/>
            </w:tcBorders>
          </w:tcPr>
          <w:p w14:paraId="46AF4F3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4E7F3AE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(140.966)</w:t>
            </w:r>
          </w:p>
        </w:tc>
        <w:tc>
          <w:tcPr>
            <w:tcW w:w="1460" w:type="dxa"/>
            <w:tcBorders>
              <w:top w:val="nil"/>
              <w:left w:val="nil"/>
              <w:bottom w:val="nil"/>
              <w:right w:val="nil"/>
            </w:tcBorders>
          </w:tcPr>
          <w:p w14:paraId="0203EA7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(68.213)</w:t>
            </w:r>
          </w:p>
        </w:tc>
        <w:tc>
          <w:tcPr>
            <w:tcW w:w="1460" w:type="dxa"/>
            <w:tcBorders>
              <w:top w:val="nil"/>
              <w:left w:val="nil"/>
              <w:bottom w:val="nil"/>
              <w:right w:val="nil"/>
            </w:tcBorders>
          </w:tcPr>
          <w:p w14:paraId="6B47A23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(13.018)</w:t>
            </w:r>
          </w:p>
        </w:tc>
        <w:tc>
          <w:tcPr>
            <w:tcW w:w="1459" w:type="dxa"/>
            <w:tcBorders>
              <w:top w:val="nil"/>
              <w:left w:val="nil"/>
              <w:bottom w:val="nil"/>
              <w:right w:val="nil"/>
            </w:tcBorders>
          </w:tcPr>
          <w:p w14:paraId="3625F10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(4.881)</w:t>
            </w:r>
          </w:p>
        </w:tc>
        <w:tc>
          <w:tcPr>
            <w:tcW w:w="1460" w:type="dxa"/>
            <w:tcBorders>
              <w:top w:val="nil"/>
              <w:left w:val="nil"/>
              <w:bottom w:val="nil"/>
              <w:right w:val="nil"/>
            </w:tcBorders>
          </w:tcPr>
          <w:p w14:paraId="689D091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(15.731)</w:t>
            </w:r>
          </w:p>
        </w:tc>
        <w:tc>
          <w:tcPr>
            <w:tcW w:w="1460" w:type="dxa"/>
            <w:tcBorders>
              <w:top w:val="nil"/>
              <w:left w:val="nil"/>
              <w:bottom w:val="nil"/>
              <w:right w:val="nil"/>
            </w:tcBorders>
          </w:tcPr>
          <w:p w14:paraId="6B7285E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(160.764)</w:t>
            </w:r>
          </w:p>
        </w:tc>
      </w:tr>
      <w:tr w:rsidR="009E1D45" w14:paraId="08DC095A" w14:textId="77777777" w:rsidTr="001019DE">
        <w:trPr>
          <w:trHeight w:val="305"/>
          <w:jc w:val="center"/>
        </w:trPr>
        <w:tc>
          <w:tcPr>
            <w:tcW w:w="2402" w:type="dxa"/>
            <w:tcBorders>
              <w:top w:val="nil"/>
              <w:left w:val="nil"/>
              <w:bottom w:val="nil"/>
              <w:right w:val="nil"/>
            </w:tcBorders>
          </w:tcPr>
          <w:p w14:paraId="0AC001B8"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Log Dist. Enrollment</w:t>
            </w:r>
          </w:p>
        </w:tc>
        <w:tc>
          <w:tcPr>
            <w:tcW w:w="1459" w:type="dxa"/>
            <w:tcBorders>
              <w:top w:val="nil"/>
              <w:left w:val="nil"/>
              <w:bottom w:val="nil"/>
              <w:right w:val="nil"/>
            </w:tcBorders>
          </w:tcPr>
          <w:p w14:paraId="030EB2D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-38.312</w:t>
            </w:r>
          </w:p>
        </w:tc>
        <w:tc>
          <w:tcPr>
            <w:tcW w:w="1460" w:type="dxa"/>
            <w:tcBorders>
              <w:top w:val="nil"/>
              <w:left w:val="nil"/>
              <w:bottom w:val="nil"/>
              <w:right w:val="nil"/>
            </w:tcBorders>
          </w:tcPr>
          <w:p w14:paraId="65EF57B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-11.511</w:t>
            </w:r>
          </w:p>
        </w:tc>
        <w:tc>
          <w:tcPr>
            <w:tcW w:w="1460" w:type="dxa"/>
            <w:tcBorders>
              <w:top w:val="nil"/>
              <w:left w:val="nil"/>
              <w:bottom w:val="nil"/>
              <w:right w:val="nil"/>
            </w:tcBorders>
          </w:tcPr>
          <w:p w14:paraId="2A03F1A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5.299</w:t>
            </w:r>
          </w:p>
        </w:tc>
        <w:tc>
          <w:tcPr>
            <w:tcW w:w="1459" w:type="dxa"/>
            <w:tcBorders>
              <w:top w:val="nil"/>
              <w:left w:val="nil"/>
              <w:bottom w:val="nil"/>
              <w:right w:val="nil"/>
            </w:tcBorders>
          </w:tcPr>
          <w:p w14:paraId="74596D2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-1.343</w:t>
            </w:r>
          </w:p>
        </w:tc>
        <w:tc>
          <w:tcPr>
            <w:tcW w:w="1460" w:type="dxa"/>
            <w:tcBorders>
              <w:top w:val="nil"/>
              <w:left w:val="nil"/>
              <w:bottom w:val="nil"/>
              <w:right w:val="nil"/>
            </w:tcBorders>
          </w:tcPr>
          <w:p w14:paraId="25BE405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10.684</w:t>
            </w:r>
            <w:r>
              <w:rPr>
                <w:rFonts w:ascii="Times New Roman" w:hAnsi="Times New Roman" w:cs="Times New Roman"/>
                <w:kern w:val="0"/>
                <w:vertAlign w:val="superscript"/>
              </w:rPr>
              <w:t>*</w:t>
            </w:r>
          </w:p>
        </w:tc>
        <w:tc>
          <w:tcPr>
            <w:tcW w:w="1460" w:type="dxa"/>
            <w:tcBorders>
              <w:top w:val="nil"/>
              <w:left w:val="nil"/>
              <w:bottom w:val="nil"/>
              <w:right w:val="nil"/>
            </w:tcBorders>
          </w:tcPr>
          <w:p w14:paraId="0EB6761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-34.597</w:t>
            </w:r>
          </w:p>
        </w:tc>
      </w:tr>
      <w:tr w:rsidR="009E1D45" w14:paraId="7DD6E69B" w14:textId="77777777" w:rsidTr="001019DE">
        <w:trPr>
          <w:trHeight w:val="305"/>
          <w:jc w:val="center"/>
        </w:trPr>
        <w:tc>
          <w:tcPr>
            <w:tcW w:w="2402" w:type="dxa"/>
            <w:tcBorders>
              <w:top w:val="nil"/>
              <w:left w:val="nil"/>
              <w:bottom w:val="single" w:sz="4" w:space="0" w:color="auto"/>
              <w:right w:val="nil"/>
            </w:tcBorders>
          </w:tcPr>
          <w:p w14:paraId="7C5F646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single" w:sz="4" w:space="0" w:color="auto"/>
              <w:right w:val="nil"/>
            </w:tcBorders>
          </w:tcPr>
          <w:p w14:paraId="729B079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(26.432)</w:t>
            </w:r>
          </w:p>
        </w:tc>
        <w:tc>
          <w:tcPr>
            <w:tcW w:w="1460" w:type="dxa"/>
            <w:tcBorders>
              <w:top w:val="nil"/>
              <w:left w:val="nil"/>
              <w:bottom w:val="single" w:sz="4" w:space="0" w:color="auto"/>
              <w:right w:val="nil"/>
            </w:tcBorders>
          </w:tcPr>
          <w:p w14:paraId="408060E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(10.759)</w:t>
            </w:r>
          </w:p>
        </w:tc>
        <w:tc>
          <w:tcPr>
            <w:tcW w:w="1460" w:type="dxa"/>
            <w:tcBorders>
              <w:top w:val="nil"/>
              <w:left w:val="nil"/>
              <w:bottom w:val="single" w:sz="4" w:space="0" w:color="auto"/>
              <w:right w:val="nil"/>
            </w:tcBorders>
          </w:tcPr>
          <w:p w14:paraId="1812B81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(3.181)</w:t>
            </w:r>
          </w:p>
        </w:tc>
        <w:tc>
          <w:tcPr>
            <w:tcW w:w="1459" w:type="dxa"/>
            <w:tcBorders>
              <w:top w:val="nil"/>
              <w:left w:val="nil"/>
              <w:bottom w:val="single" w:sz="4" w:space="0" w:color="auto"/>
              <w:right w:val="nil"/>
            </w:tcBorders>
          </w:tcPr>
          <w:p w14:paraId="212E18D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(0.902)</w:t>
            </w:r>
          </w:p>
        </w:tc>
        <w:tc>
          <w:tcPr>
            <w:tcW w:w="1460" w:type="dxa"/>
            <w:tcBorders>
              <w:top w:val="nil"/>
              <w:left w:val="nil"/>
              <w:bottom w:val="single" w:sz="4" w:space="0" w:color="auto"/>
              <w:right w:val="nil"/>
            </w:tcBorders>
          </w:tcPr>
          <w:p w14:paraId="007B9D9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(6.310)</w:t>
            </w:r>
          </w:p>
        </w:tc>
        <w:tc>
          <w:tcPr>
            <w:tcW w:w="1460" w:type="dxa"/>
            <w:tcBorders>
              <w:top w:val="nil"/>
              <w:left w:val="nil"/>
              <w:bottom w:val="single" w:sz="4" w:space="0" w:color="auto"/>
              <w:right w:val="nil"/>
            </w:tcBorders>
          </w:tcPr>
          <w:p w14:paraId="2159672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(52.228)</w:t>
            </w:r>
          </w:p>
        </w:tc>
      </w:tr>
      <w:tr w:rsidR="009E1D45" w14:paraId="4E7F711A" w14:textId="77777777" w:rsidTr="001019DE">
        <w:trPr>
          <w:trHeight w:val="284"/>
          <w:jc w:val="center"/>
        </w:trPr>
        <w:tc>
          <w:tcPr>
            <w:tcW w:w="2402" w:type="dxa"/>
            <w:tcBorders>
              <w:left w:val="nil"/>
              <w:bottom w:val="single" w:sz="4" w:space="0" w:color="auto"/>
              <w:right w:val="nil"/>
            </w:tcBorders>
          </w:tcPr>
          <w:p w14:paraId="3859D0C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Observations</w:t>
            </w:r>
          </w:p>
        </w:tc>
        <w:tc>
          <w:tcPr>
            <w:tcW w:w="1459" w:type="dxa"/>
            <w:tcBorders>
              <w:left w:val="nil"/>
              <w:bottom w:val="single" w:sz="4" w:space="0" w:color="auto"/>
              <w:right w:val="nil"/>
            </w:tcBorders>
          </w:tcPr>
          <w:p w14:paraId="68ABBD0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60" w:type="dxa"/>
            <w:tcBorders>
              <w:left w:val="nil"/>
              <w:bottom w:val="single" w:sz="4" w:space="0" w:color="auto"/>
              <w:right w:val="nil"/>
            </w:tcBorders>
          </w:tcPr>
          <w:p w14:paraId="1F7ED79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60" w:type="dxa"/>
            <w:tcBorders>
              <w:left w:val="nil"/>
              <w:bottom w:val="single" w:sz="4" w:space="0" w:color="auto"/>
              <w:right w:val="nil"/>
            </w:tcBorders>
          </w:tcPr>
          <w:p w14:paraId="6021518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59" w:type="dxa"/>
            <w:tcBorders>
              <w:left w:val="nil"/>
              <w:bottom w:val="single" w:sz="4" w:space="0" w:color="auto"/>
              <w:right w:val="nil"/>
            </w:tcBorders>
          </w:tcPr>
          <w:p w14:paraId="7940D50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60" w:type="dxa"/>
            <w:tcBorders>
              <w:left w:val="nil"/>
              <w:bottom w:val="single" w:sz="4" w:space="0" w:color="auto"/>
              <w:right w:val="nil"/>
            </w:tcBorders>
          </w:tcPr>
          <w:p w14:paraId="4739172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c>
          <w:tcPr>
            <w:tcW w:w="1460" w:type="dxa"/>
            <w:tcBorders>
              <w:left w:val="nil"/>
              <w:bottom w:val="single" w:sz="4" w:space="0" w:color="auto"/>
              <w:right w:val="nil"/>
            </w:tcBorders>
          </w:tcPr>
          <w:p w14:paraId="74391FA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7577</w:t>
            </w:r>
          </w:p>
        </w:tc>
      </w:tr>
    </w:tbl>
    <w:p w14:paraId="0A22D7D4"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Average causal response estimates from Equation (1) aggregated using the weighted average of estimates in Equation (2). Dosage represents a continuous measure of the increase in the millage of the special education property tax in each ISD. Columns (1) and (2) present estimates from models with the dosage in a linear functional form, and columns (3) and (4) present models with a quadratic functional form. All standard errors clustered at the ISD-level and unconditional on covariates.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0.1,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0.05,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0.01</w:t>
      </w:r>
    </w:p>
    <w:p w14:paraId="75BE8A46" w14:textId="77777777" w:rsidR="009E1D45" w:rsidRPr="00667704" w:rsidRDefault="009E1D45" w:rsidP="009E1D45">
      <w:pPr>
        <w:rPr>
          <w:rFonts w:ascii="Times New Roman" w:hAnsi="Times New Roman" w:cs="Times New Roman"/>
        </w:rPr>
      </w:pPr>
    </w:p>
    <w:p w14:paraId="29CB8A5B" w14:textId="77777777" w:rsidR="009E1D45" w:rsidRDefault="009E1D45" w:rsidP="009E1D45">
      <w:pPr>
        <w:jc w:val="center"/>
        <w:rPr>
          <w:rFonts w:ascii="Times New Roman" w:hAnsi="Times New Roman" w:cs="Times New Roman"/>
          <w:b/>
          <w:bCs/>
        </w:rPr>
      </w:pPr>
    </w:p>
    <w:p w14:paraId="00878055" w14:textId="77777777" w:rsidR="009E1D45" w:rsidRDefault="009E1D45" w:rsidP="009E1D45">
      <w:pPr>
        <w:jc w:val="center"/>
        <w:rPr>
          <w:rFonts w:ascii="Times New Roman" w:hAnsi="Times New Roman" w:cs="Times New Roman"/>
          <w:b/>
          <w:bCs/>
        </w:rPr>
      </w:pPr>
    </w:p>
    <w:p w14:paraId="6952E3FD" w14:textId="77777777" w:rsidR="009E1D45" w:rsidRDefault="009E1D45" w:rsidP="009E1D45">
      <w:pPr>
        <w:jc w:val="center"/>
        <w:rPr>
          <w:rFonts w:ascii="Times New Roman" w:hAnsi="Times New Roman" w:cs="Times New Roman"/>
          <w:b/>
          <w:bCs/>
        </w:rPr>
      </w:pPr>
    </w:p>
    <w:p w14:paraId="2C015A12" w14:textId="77777777" w:rsidR="009E1D45" w:rsidRDefault="009E1D45" w:rsidP="009E1D45">
      <w:pPr>
        <w:jc w:val="center"/>
        <w:rPr>
          <w:rFonts w:ascii="Times New Roman" w:hAnsi="Times New Roman" w:cs="Times New Roman"/>
          <w:b/>
          <w:bCs/>
        </w:rPr>
      </w:pPr>
    </w:p>
    <w:p w14:paraId="4AE93ED4" w14:textId="77777777" w:rsidR="009E1D45" w:rsidRDefault="009E1D45" w:rsidP="009E1D45">
      <w:pPr>
        <w:jc w:val="center"/>
        <w:rPr>
          <w:rFonts w:ascii="Times New Roman" w:hAnsi="Times New Roman" w:cs="Times New Roman"/>
          <w:b/>
          <w:bCs/>
        </w:rPr>
      </w:pPr>
    </w:p>
    <w:p w14:paraId="711C2022" w14:textId="77777777" w:rsidR="009E1D45" w:rsidRDefault="009E1D45" w:rsidP="009E1D45">
      <w:pPr>
        <w:jc w:val="center"/>
        <w:rPr>
          <w:rFonts w:ascii="Times New Roman" w:hAnsi="Times New Roman" w:cs="Times New Roman"/>
          <w:b/>
          <w:bCs/>
        </w:rPr>
      </w:pPr>
    </w:p>
    <w:p w14:paraId="5F099F60" w14:textId="77777777" w:rsidR="009E1D45" w:rsidRDefault="009E1D45" w:rsidP="009E1D45">
      <w:pPr>
        <w:jc w:val="center"/>
        <w:rPr>
          <w:rFonts w:ascii="Times New Roman" w:hAnsi="Times New Roman" w:cs="Times New Roman"/>
          <w:b/>
          <w:bCs/>
        </w:rPr>
      </w:pPr>
    </w:p>
    <w:p w14:paraId="0F341CCA" w14:textId="77777777" w:rsidR="009E1D45" w:rsidRDefault="009E1D45" w:rsidP="009E1D45">
      <w:pPr>
        <w:jc w:val="center"/>
        <w:rPr>
          <w:rFonts w:ascii="Times New Roman" w:hAnsi="Times New Roman" w:cs="Times New Roman"/>
          <w:b/>
          <w:bCs/>
        </w:rPr>
      </w:pPr>
    </w:p>
    <w:p w14:paraId="5D412EF9" w14:textId="77777777" w:rsidR="009E1D45" w:rsidRDefault="009E1D45" w:rsidP="009E1D45">
      <w:pPr>
        <w:jc w:val="center"/>
        <w:rPr>
          <w:rFonts w:ascii="Times New Roman" w:hAnsi="Times New Roman" w:cs="Times New Roman"/>
          <w:b/>
          <w:bCs/>
        </w:rPr>
      </w:pPr>
    </w:p>
    <w:p w14:paraId="28B3EC23" w14:textId="77777777" w:rsidR="009E1D45" w:rsidRPr="00667704" w:rsidRDefault="009E1D45" w:rsidP="009E1D45">
      <w:pPr>
        <w:jc w:val="center"/>
        <w:rPr>
          <w:rFonts w:ascii="Times New Roman" w:hAnsi="Times New Roman" w:cs="Times New Roman"/>
          <w:b/>
          <w:bCs/>
        </w:rPr>
      </w:pPr>
      <w:r w:rsidRPr="00667704">
        <w:rPr>
          <w:rFonts w:ascii="Times New Roman" w:hAnsi="Times New Roman" w:cs="Times New Roman"/>
          <w:b/>
          <w:bCs/>
        </w:rPr>
        <w:lastRenderedPageBreak/>
        <w:t xml:space="preserve">Table </w:t>
      </w:r>
      <w:r>
        <w:rPr>
          <w:rFonts w:ascii="Times New Roman" w:hAnsi="Times New Roman" w:cs="Times New Roman"/>
          <w:b/>
          <w:bCs/>
        </w:rPr>
        <w:t>A8</w:t>
      </w:r>
      <w:r w:rsidRPr="00667704">
        <w:rPr>
          <w:rFonts w:ascii="Times New Roman" w:hAnsi="Times New Roman" w:cs="Times New Roman"/>
          <w:b/>
          <w:bCs/>
        </w:rPr>
        <w:t xml:space="preserve">: Average Causal Response of </w:t>
      </w:r>
      <w:r>
        <w:rPr>
          <w:rFonts w:ascii="Times New Roman" w:hAnsi="Times New Roman" w:cs="Times New Roman"/>
          <w:b/>
          <w:bCs/>
        </w:rPr>
        <w:t xml:space="preserve">School District-Level </w:t>
      </w:r>
      <w:r w:rsidRPr="00667704">
        <w:rPr>
          <w:rFonts w:ascii="Times New Roman" w:hAnsi="Times New Roman" w:cs="Times New Roman"/>
          <w:b/>
          <w:bCs/>
        </w:rPr>
        <w:t xml:space="preserve">Special Education </w:t>
      </w:r>
      <w:r>
        <w:rPr>
          <w:rFonts w:ascii="Times New Roman" w:hAnsi="Times New Roman" w:cs="Times New Roman"/>
          <w:b/>
          <w:bCs/>
        </w:rPr>
        <w:t xml:space="preserve">Expenditures </w:t>
      </w:r>
      <w:r w:rsidRPr="00667704">
        <w:rPr>
          <w:rFonts w:ascii="Times New Roman" w:hAnsi="Times New Roman" w:cs="Times New Roman"/>
          <w:b/>
          <w:bCs/>
        </w:rPr>
        <w:t xml:space="preserve">following </w:t>
      </w:r>
      <w:r>
        <w:rPr>
          <w:rFonts w:ascii="Times New Roman" w:hAnsi="Times New Roman" w:cs="Times New Roman"/>
          <w:b/>
          <w:bCs/>
        </w:rPr>
        <w:t>Earmarked Property Tax</w:t>
      </w:r>
      <w:r w:rsidRPr="00667704">
        <w:rPr>
          <w:rFonts w:ascii="Times New Roman" w:hAnsi="Times New Roman" w:cs="Times New Roman"/>
          <w:b/>
          <w:bCs/>
        </w:rPr>
        <w:t xml:space="preserve"> Increase</w:t>
      </w:r>
      <w:r>
        <w:rPr>
          <w:rFonts w:ascii="Times New Roman" w:hAnsi="Times New Roman" w:cs="Times New Roman"/>
          <w:b/>
          <w:bCs/>
        </w:rPr>
        <w:t>s Among Rural School Districts</w:t>
      </w:r>
    </w:p>
    <w:tbl>
      <w:tblPr>
        <w:tblW w:w="11160" w:type="dxa"/>
        <w:jc w:val="center"/>
        <w:tblLayout w:type="fixed"/>
        <w:tblLook w:val="0000" w:firstRow="0" w:lastRow="0" w:firstColumn="0" w:lastColumn="0" w:noHBand="0" w:noVBand="0"/>
      </w:tblPr>
      <w:tblGrid>
        <w:gridCol w:w="2402"/>
        <w:gridCol w:w="1459"/>
        <w:gridCol w:w="1460"/>
        <w:gridCol w:w="1460"/>
        <w:gridCol w:w="1459"/>
        <w:gridCol w:w="1460"/>
        <w:gridCol w:w="1460"/>
      </w:tblGrid>
      <w:tr w:rsidR="009E1D45" w14:paraId="042CC848" w14:textId="77777777" w:rsidTr="001019DE">
        <w:trPr>
          <w:trHeight w:val="590"/>
          <w:jc w:val="center"/>
        </w:trPr>
        <w:tc>
          <w:tcPr>
            <w:tcW w:w="2402" w:type="dxa"/>
            <w:tcBorders>
              <w:top w:val="single" w:sz="4" w:space="0" w:color="auto"/>
              <w:left w:val="nil"/>
              <w:bottom w:val="nil"/>
              <w:right w:val="nil"/>
            </w:tcBorders>
          </w:tcPr>
          <w:p w14:paraId="1976C0D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single" w:sz="4" w:space="0" w:color="auto"/>
              <w:left w:val="nil"/>
              <w:bottom w:val="nil"/>
              <w:right w:val="nil"/>
            </w:tcBorders>
          </w:tcPr>
          <w:p w14:paraId="7BD11F4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Salaries</w:t>
            </w:r>
          </w:p>
        </w:tc>
        <w:tc>
          <w:tcPr>
            <w:tcW w:w="1460" w:type="dxa"/>
            <w:tcBorders>
              <w:top w:val="single" w:sz="4" w:space="0" w:color="auto"/>
              <w:left w:val="nil"/>
              <w:bottom w:val="nil"/>
              <w:right w:val="nil"/>
            </w:tcBorders>
          </w:tcPr>
          <w:p w14:paraId="20A97D2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Benefits</w:t>
            </w:r>
          </w:p>
        </w:tc>
        <w:tc>
          <w:tcPr>
            <w:tcW w:w="1460" w:type="dxa"/>
            <w:tcBorders>
              <w:top w:val="single" w:sz="4" w:space="0" w:color="auto"/>
              <w:left w:val="nil"/>
              <w:bottom w:val="nil"/>
              <w:right w:val="nil"/>
            </w:tcBorders>
          </w:tcPr>
          <w:p w14:paraId="2131ED0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Purchased Services</w:t>
            </w:r>
          </w:p>
        </w:tc>
        <w:tc>
          <w:tcPr>
            <w:tcW w:w="1459" w:type="dxa"/>
            <w:tcBorders>
              <w:top w:val="single" w:sz="4" w:space="0" w:color="auto"/>
              <w:left w:val="nil"/>
              <w:bottom w:val="nil"/>
              <w:right w:val="nil"/>
            </w:tcBorders>
          </w:tcPr>
          <w:p w14:paraId="135FB69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Supplies</w:t>
            </w:r>
          </w:p>
        </w:tc>
        <w:tc>
          <w:tcPr>
            <w:tcW w:w="1460" w:type="dxa"/>
            <w:tcBorders>
              <w:top w:val="single" w:sz="4" w:space="0" w:color="auto"/>
              <w:left w:val="nil"/>
              <w:bottom w:val="nil"/>
              <w:right w:val="nil"/>
            </w:tcBorders>
          </w:tcPr>
          <w:p w14:paraId="59EC481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Payments to School Districts/ ISDs</w:t>
            </w:r>
          </w:p>
        </w:tc>
        <w:tc>
          <w:tcPr>
            <w:tcW w:w="1460" w:type="dxa"/>
            <w:tcBorders>
              <w:top w:val="single" w:sz="4" w:space="0" w:color="auto"/>
              <w:left w:val="nil"/>
              <w:bottom w:val="nil"/>
              <w:right w:val="nil"/>
            </w:tcBorders>
          </w:tcPr>
          <w:p w14:paraId="5895C17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Other</w:t>
            </w:r>
          </w:p>
        </w:tc>
      </w:tr>
      <w:tr w:rsidR="009E1D45" w14:paraId="777CC73C" w14:textId="77777777" w:rsidTr="001019DE">
        <w:trPr>
          <w:trHeight w:val="305"/>
          <w:jc w:val="center"/>
        </w:trPr>
        <w:tc>
          <w:tcPr>
            <w:tcW w:w="2402" w:type="dxa"/>
            <w:tcBorders>
              <w:left w:val="nil"/>
              <w:bottom w:val="nil"/>
              <w:right w:val="nil"/>
            </w:tcBorders>
          </w:tcPr>
          <w:p w14:paraId="450C2CE6"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left w:val="nil"/>
              <w:bottom w:val="nil"/>
              <w:right w:val="nil"/>
            </w:tcBorders>
          </w:tcPr>
          <w:p w14:paraId="7F235CF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w:t>
            </w:r>
          </w:p>
        </w:tc>
        <w:tc>
          <w:tcPr>
            <w:tcW w:w="1460" w:type="dxa"/>
            <w:tcBorders>
              <w:left w:val="nil"/>
              <w:bottom w:val="nil"/>
              <w:right w:val="nil"/>
            </w:tcBorders>
          </w:tcPr>
          <w:p w14:paraId="0AB2D27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w:t>
            </w:r>
          </w:p>
        </w:tc>
        <w:tc>
          <w:tcPr>
            <w:tcW w:w="1460" w:type="dxa"/>
            <w:tcBorders>
              <w:left w:val="nil"/>
              <w:bottom w:val="nil"/>
              <w:right w:val="nil"/>
            </w:tcBorders>
          </w:tcPr>
          <w:p w14:paraId="0940EB7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w:t>
            </w:r>
          </w:p>
        </w:tc>
        <w:tc>
          <w:tcPr>
            <w:tcW w:w="1459" w:type="dxa"/>
            <w:tcBorders>
              <w:left w:val="nil"/>
              <w:bottom w:val="nil"/>
              <w:right w:val="nil"/>
            </w:tcBorders>
          </w:tcPr>
          <w:p w14:paraId="1A94D0C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w:t>
            </w:r>
          </w:p>
        </w:tc>
        <w:tc>
          <w:tcPr>
            <w:tcW w:w="1460" w:type="dxa"/>
            <w:tcBorders>
              <w:left w:val="nil"/>
              <w:bottom w:val="nil"/>
              <w:right w:val="nil"/>
            </w:tcBorders>
          </w:tcPr>
          <w:p w14:paraId="5A191DE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w:t>
            </w:r>
          </w:p>
        </w:tc>
        <w:tc>
          <w:tcPr>
            <w:tcW w:w="1460" w:type="dxa"/>
            <w:tcBorders>
              <w:left w:val="nil"/>
              <w:bottom w:val="nil"/>
              <w:right w:val="nil"/>
            </w:tcBorders>
          </w:tcPr>
          <w:p w14:paraId="109D240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w:t>
            </w:r>
          </w:p>
        </w:tc>
      </w:tr>
      <w:tr w:rsidR="009E1D45" w14:paraId="48761752" w14:textId="77777777" w:rsidTr="001019DE">
        <w:trPr>
          <w:trHeight w:val="284"/>
          <w:jc w:val="center"/>
        </w:trPr>
        <w:tc>
          <w:tcPr>
            <w:tcW w:w="2402" w:type="dxa"/>
            <w:tcBorders>
              <w:top w:val="single" w:sz="4" w:space="0" w:color="auto"/>
              <w:left w:val="nil"/>
              <w:bottom w:val="nil"/>
              <w:right w:val="nil"/>
            </w:tcBorders>
          </w:tcPr>
          <w:p w14:paraId="08F431B3"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ACR</w:t>
            </w:r>
          </w:p>
        </w:tc>
        <w:tc>
          <w:tcPr>
            <w:tcW w:w="1459" w:type="dxa"/>
            <w:tcBorders>
              <w:top w:val="single" w:sz="4" w:space="0" w:color="auto"/>
              <w:left w:val="nil"/>
              <w:bottom w:val="nil"/>
              <w:right w:val="nil"/>
            </w:tcBorders>
          </w:tcPr>
          <w:p w14:paraId="1B235EE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208.27</w:t>
            </w:r>
            <w:r>
              <w:rPr>
                <w:rFonts w:ascii="Times New Roman" w:hAnsi="Times New Roman" w:cs="Times New Roman"/>
                <w:kern w:val="0"/>
                <w:vertAlign w:val="superscript"/>
              </w:rPr>
              <w:t>***</w:t>
            </w:r>
          </w:p>
        </w:tc>
        <w:tc>
          <w:tcPr>
            <w:tcW w:w="1460" w:type="dxa"/>
            <w:tcBorders>
              <w:top w:val="single" w:sz="4" w:space="0" w:color="auto"/>
              <w:left w:val="nil"/>
              <w:bottom w:val="nil"/>
              <w:right w:val="nil"/>
            </w:tcBorders>
          </w:tcPr>
          <w:p w14:paraId="36FC39E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-12.48</w:t>
            </w:r>
          </w:p>
        </w:tc>
        <w:tc>
          <w:tcPr>
            <w:tcW w:w="1460" w:type="dxa"/>
            <w:tcBorders>
              <w:top w:val="single" w:sz="4" w:space="0" w:color="auto"/>
              <w:left w:val="nil"/>
              <w:bottom w:val="nil"/>
              <w:right w:val="nil"/>
            </w:tcBorders>
          </w:tcPr>
          <w:p w14:paraId="0545398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-133.79</w:t>
            </w:r>
            <w:r>
              <w:rPr>
                <w:rFonts w:ascii="Times New Roman" w:hAnsi="Times New Roman" w:cs="Times New Roman"/>
                <w:kern w:val="0"/>
                <w:vertAlign w:val="superscript"/>
              </w:rPr>
              <w:t>**</w:t>
            </w:r>
          </w:p>
        </w:tc>
        <w:tc>
          <w:tcPr>
            <w:tcW w:w="1459" w:type="dxa"/>
            <w:tcBorders>
              <w:top w:val="single" w:sz="4" w:space="0" w:color="auto"/>
              <w:left w:val="nil"/>
              <w:bottom w:val="nil"/>
              <w:right w:val="nil"/>
            </w:tcBorders>
          </w:tcPr>
          <w:p w14:paraId="4BBD43F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10.91</w:t>
            </w:r>
          </w:p>
        </w:tc>
        <w:tc>
          <w:tcPr>
            <w:tcW w:w="1460" w:type="dxa"/>
            <w:tcBorders>
              <w:top w:val="single" w:sz="4" w:space="0" w:color="auto"/>
              <w:left w:val="nil"/>
              <w:bottom w:val="nil"/>
              <w:right w:val="nil"/>
            </w:tcBorders>
          </w:tcPr>
          <w:p w14:paraId="36E4421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30.43</w:t>
            </w:r>
            <w:r>
              <w:rPr>
                <w:rFonts w:ascii="Times New Roman" w:hAnsi="Times New Roman" w:cs="Times New Roman"/>
                <w:kern w:val="0"/>
                <w:vertAlign w:val="superscript"/>
              </w:rPr>
              <w:t>*</w:t>
            </w:r>
          </w:p>
        </w:tc>
        <w:tc>
          <w:tcPr>
            <w:tcW w:w="1460" w:type="dxa"/>
            <w:tcBorders>
              <w:top w:val="single" w:sz="4" w:space="0" w:color="auto"/>
              <w:left w:val="nil"/>
              <w:bottom w:val="nil"/>
              <w:right w:val="nil"/>
            </w:tcBorders>
          </w:tcPr>
          <w:p w14:paraId="6DC8B93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-21.37</w:t>
            </w:r>
          </w:p>
        </w:tc>
      </w:tr>
      <w:tr w:rsidR="009E1D45" w14:paraId="52DEBD02" w14:textId="77777777" w:rsidTr="001019DE">
        <w:trPr>
          <w:trHeight w:val="305"/>
          <w:jc w:val="center"/>
        </w:trPr>
        <w:tc>
          <w:tcPr>
            <w:tcW w:w="2402" w:type="dxa"/>
            <w:tcBorders>
              <w:top w:val="nil"/>
              <w:left w:val="nil"/>
              <w:bottom w:val="nil"/>
              <w:right w:val="nil"/>
            </w:tcBorders>
          </w:tcPr>
          <w:p w14:paraId="7569825F"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6BBB71B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(52.40)</w:t>
            </w:r>
          </w:p>
        </w:tc>
        <w:tc>
          <w:tcPr>
            <w:tcW w:w="1460" w:type="dxa"/>
            <w:tcBorders>
              <w:top w:val="nil"/>
              <w:left w:val="nil"/>
              <w:bottom w:val="nil"/>
              <w:right w:val="nil"/>
            </w:tcBorders>
          </w:tcPr>
          <w:p w14:paraId="110584D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(33.05)</w:t>
            </w:r>
          </w:p>
        </w:tc>
        <w:tc>
          <w:tcPr>
            <w:tcW w:w="1460" w:type="dxa"/>
            <w:tcBorders>
              <w:top w:val="nil"/>
              <w:left w:val="nil"/>
              <w:bottom w:val="nil"/>
              <w:right w:val="nil"/>
            </w:tcBorders>
          </w:tcPr>
          <w:p w14:paraId="1BC526F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(52.39)</w:t>
            </w:r>
          </w:p>
        </w:tc>
        <w:tc>
          <w:tcPr>
            <w:tcW w:w="1459" w:type="dxa"/>
            <w:tcBorders>
              <w:top w:val="nil"/>
              <w:left w:val="nil"/>
              <w:bottom w:val="nil"/>
              <w:right w:val="nil"/>
            </w:tcBorders>
          </w:tcPr>
          <w:p w14:paraId="7574677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(10.71)</w:t>
            </w:r>
          </w:p>
        </w:tc>
        <w:tc>
          <w:tcPr>
            <w:tcW w:w="1460" w:type="dxa"/>
            <w:tcBorders>
              <w:top w:val="nil"/>
              <w:left w:val="nil"/>
              <w:bottom w:val="nil"/>
              <w:right w:val="nil"/>
            </w:tcBorders>
          </w:tcPr>
          <w:p w14:paraId="0DB1E74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(16.61)</w:t>
            </w:r>
          </w:p>
        </w:tc>
        <w:tc>
          <w:tcPr>
            <w:tcW w:w="1460" w:type="dxa"/>
            <w:tcBorders>
              <w:top w:val="nil"/>
              <w:left w:val="nil"/>
              <w:bottom w:val="nil"/>
              <w:right w:val="nil"/>
            </w:tcBorders>
          </w:tcPr>
          <w:p w14:paraId="7D020DF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(14.98)</w:t>
            </w:r>
          </w:p>
        </w:tc>
      </w:tr>
      <w:tr w:rsidR="009E1D45" w14:paraId="33FD2488" w14:textId="77777777" w:rsidTr="001019DE">
        <w:trPr>
          <w:trHeight w:val="305"/>
          <w:jc w:val="center"/>
        </w:trPr>
        <w:tc>
          <w:tcPr>
            <w:tcW w:w="2402" w:type="dxa"/>
            <w:tcBorders>
              <w:top w:val="nil"/>
              <w:left w:val="nil"/>
              <w:bottom w:val="nil"/>
              <w:right w:val="nil"/>
            </w:tcBorders>
          </w:tcPr>
          <w:p w14:paraId="4605CE5E"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Rural</w:t>
            </w:r>
          </w:p>
        </w:tc>
        <w:tc>
          <w:tcPr>
            <w:tcW w:w="1459" w:type="dxa"/>
            <w:tcBorders>
              <w:top w:val="nil"/>
              <w:left w:val="nil"/>
              <w:bottom w:val="nil"/>
              <w:right w:val="nil"/>
            </w:tcBorders>
          </w:tcPr>
          <w:p w14:paraId="67CAC16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227.12</w:t>
            </w:r>
            <w:r>
              <w:rPr>
                <w:rFonts w:ascii="Times New Roman" w:hAnsi="Times New Roman" w:cs="Times New Roman"/>
                <w:kern w:val="0"/>
                <w:vertAlign w:val="superscript"/>
              </w:rPr>
              <w:t>***</w:t>
            </w:r>
          </w:p>
        </w:tc>
        <w:tc>
          <w:tcPr>
            <w:tcW w:w="1460" w:type="dxa"/>
            <w:tcBorders>
              <w:top w:val="nil"/>
              <w:left w:val="nil"/>
              <w:bottom w:val="nil"/>
              <w:right w:val="nil"/>
            </w:tcBorders>
          </w:tcPr>
          <w:p w14:paraId="686AF47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12.10</w:t>
            </w:r>
          </w:p>
        </w:tc>
        <w:tc>
          <w:tcPr>
            <w:tcW w:w="1460" w:type="dxa"/>
            <w:tcBorders>
              <w:top w:val="nil"/>
              <w:left w:val="nil"/>
              <w:bottom w:val="nil"/>
              <w:right w:val="nil"/>
            </w:tcBorders>
          </w:tcPr>
          <w:p w14:paraId="6A318E3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-101.30</w:t>
            </w:r>
            <w:r>
              <w:rPr>
                <w:rFonts w:ascii="Times New Roman" w:hAnsi="Times New Roman" w:cs="Times New Roman"/>
                <w:kern w:val="0"/>
                <w:vertAlign w:val="superscript"/>
              </w:rPr>
              <w:t>*</w:t>
            </w:r>
          </w:p>
        </w:tc>
        <w:tc>
          <w:tcPr>
            <w:tcW w:w="1459" w:type="dxa"/>
            <w:tcBorders>
              <w:top w:val="nil"/>
              <w:left w:val="nil"/>
              <w:bottom w:val="nil"/>
              <w:right w:val="nil"/>
            </w:tcBorders>
          </w:tcPr>
          <w:p w14:paraId="0A28A52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5.49</w:t>
            </w:r>
          </w:p>
        </w:tc>
        <w:tc>
          <w:tcPr>
            <w:tcW w:w="1460" w:type="dxa"/>
            <w:tcBorders>
              <w:top w:val="nil"/>
              <w:left w:val="nil"/>
              <w:bottom w:val="nil"/>
              <w:right w:val="nil"/>
            </w:tcBorders>
          </w:tcPr>
          <w:p w14:paraId="54556BB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-27.07</w:t>
            </w:r>
          </w:p>
        </w:tc>
        <w:tc>
          <w:tcPr>
            <w:tcW w:w="1460" w:type="dxa"/>
            <w:tcBorders>
              <w:top w:val="nil"/>
              <w:left w:val="nil"/>
              <w:bottom w:val="nil"/>
              <w:right w:val="nil"/>
            </w:tcBorders>
          </w:tcPr>
          <w:p w14:paraId="6C131AE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-12.04</w:t>
            </w:r>
          </w:p>
        </w:tc>
      </w:tr>
      <w:tr w:rsidR="009E1D45" w14:paraId="423E537B" w14:textId="77777777" w:rsidTr="001019DE">
        <w:trPr>
          <w:trHeight w:val="305"/>
          <w:jc w:val="center"/>
        </w:trPr>
        <w:tc>
          <w:tcPr>
            <w:tcW w:w="2402" w:type="dxa"/>
            <w:tcBorders>
              <w:top w:val="nil"/>
              <w:left w:val="nil"/>
              <w:bottom w:val="nil"/>
              <w:right w:val="nil"/>
            </w:tcBorders>
          </w:tcPr>
          <w:p w14:paraId="116F49D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7570FED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(67.88)</w:t>
            </w:r>
          </w:p>
        </w:tc>
        <w:tc>
          <w:tcPr>
            <w:tcW w:w="1460" w:type="dxa"/>
            <w:tcBorders>
              <w:top w:val="nil"/>
              <w:left w:val="nil"/>
              <w:bottom w:val="nil"/>
              <w:right w:val="nil"/>
            </w:tcBorders>
          </w:tcPr>
          <w:p w14:paraId="0AEE803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(46.76)</w:t>
            </w:r>
          </w:p>
        </w:tc>
        <w:tc>
          <w:tcPr>
            <w:tcW w:w="1460" w:type="dxa"/>
            <w:tcBorders>
              <w:top w:val="nil"/>
              <w:left w:val="nil"/>
              <w:bottom w:val="nil"/>
              <w:right w:val="nil"/>
            </w:tcBorders>
          </w:tcPr>
          <w:p w14:paraId="7AB9714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(56.95)</w:t>
            </w:r>
          </w:p>
        </w:tc>
        <w:tc>
          <w:tcPr>
            <w:tcW w:w="1459" w:type="dxa"/>
            <w:tcBorders>
              <w:top w:val="nil"/>
              <w:left w:val="nil"/>
              <w:bottom w:val="nil"/>
              <w:right w:val="nil"/>
            </w:tcBorders>
          </w:tcPr>
          <w:p w14:paraId="373CA76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(15.71)</w:t>
            </w:r>
          </w:p>
        </w:tc>
        <w:tc>
          <w:tcPr>
            <w:tcW w:w="1460" w:type="dxa"/>
            <w:tcBorders>
              <w:top w:val="nil"/>
              <w:left w:val="nil"/>
              <w:bottom w:val="nil"/>
              <w:right w:val="nil"/>
            </w:tcBorders>
          </w:tcPr>
          <w:p w14:paraId="2CF02EF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(24.17)</w:t>
            </w:r>
          </w:p>
        </w:tc>
        <w:tc>
          <w:tcPr>
            <w:tcW w:w="1460" w:type="dxa"/>
            <w:tcBorders>
              <w:top w:val="nil"/>
              <w:left w:val="nil"/>
              <w:bottom w:val="nil"/>
              <w:right w:val="nil"/>
            </w:tcBorders>
          </w:tcPr>
          <w:p w14:paraId="15463A7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(16.99)</w:t>
            </w:r>
          </w:p>
        </w:tc>
      </w:tr>
      <w:tr w:rsidR="009E1D45" w14:paraId="3EAA8BDA" w14:textId="77777777" w:rsidTr="001019DE">
        <w:trPr>
          <w:trHeight w:val="305"/>
          <w:jc w:val="center"/>
        </w:trPr>
        <w:tc>
          <w:tcPr>
            <w:tcW w:w="2402" w:type="dxa"/>
            <w:tcBorders>
              <w:top w:val="nil"/>
              <w:left w:val="nil"/>
              <w:bottom w:val="nil"/>
              <w:right w:val="nil"/>
            </w:tcBorders>
          </w:tcPr>
          <w:p w14:paraId="6C15648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Female</w:t>
            </w:r>
          </w:p>
        </w:tc>
        <w:tc>
          <w:tcPr>
            <w:tcW w:w="1459" w:type="dxa"/>
            <w:tcBorders>
              <w:top w:val="nil"/>
              <w:left w:val="nil"/>
              <w:bottom w:val="nil"/>
              <w:right w:val="nil"/>
            </w:tcBorders>
          </w:tcPr>
          <w:p w14:paraId="0BBDAC5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1957.15</w:t>
            </w:r>
            <w:r>
              <w:rPr>
                <w:rFonts w:ascii="Times New Roman" w:hAnsi="Times New Roman" w:cs="Times New Roman"/>
                <w:kern w:val="0"/>
                <w:vertAlign w:val="superscript"/>
              </w:rPr>
              <w:t>**</w:t>
            </w:r>
          </w:p>
        </w:tc>
        <w:tc>
          <w:tcPr>
            <w:tcW w:w="1460" w:type="dxa"/>
            <w:tcBorders>
              <w:top w:val="nil"/>
              <w:left w:val="nil"/>
              <w:bottom w:val="nil"/>
              <w:right w:val="nil"/>
            </w:tcBorders>
          </w:tcPr>
          <w:p w14:paraId="068A3D3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1172.72</w:t>
            </w:r>
            <w:r>
              <w:rPr>
                <w:rFonts w:ascii="Times New Roman" w:hAnsi="Times New Roman" w:cs="Times New Roman"/>
                <w:kern w:val="0"/>
                <w:vertAlign w:val="superscript"/>
              </w:rPr>
              <w:t>*</w:t>
            </w:r>
          </w:p>
        </w:tc>
        <w:tc>
          <w:tcPr>
            <w:tcW w:w="1460" w:type="dxa"/>
            <w:tcBorders>
              <w:top w:val="nil"/>
              <w:left w:val="nil"/>
              <w:bottom w:val="nil"/>
              <w:right w:val="nil"/>
            </w:tcBorders>
          </w:tcPr>
          <w:p w14:paraId="005BEB4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-1202.20</w:t>
            </w:r>
          </w:p>
        </w:tc>
        <w:tc>
          <w:tcPr>
            <w:tcW w:w="1459" w:type="dxa"/>
            <w:tcBorders>
              <w:top w:val="nil"/>
              <w:left w:val="nil"/>
              <w:bottom w:val="nil"/>
              <w:right w:val="nil"/>
            </w:tcBorders>
          </w:tcPr>
          <w:p w14:paraId="615E03BE"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-510.25</w:t>
            </w:r>
          </w:p>
        </w:tc>
        <w:tc>
          <w:tcPr>
            <w:tcW w:w="1460" w:type="dxa"/>
            <w:tcBorders>
              <w:top w:val="nil"/>
              <w:left w:val="nil"/>
              <w:bottom w:val="nil"/>
              <w:right w:val="nil"/>
            </w:tcBorders>
          </w:tcPr>
          <w:p w14:paraId="6EC2810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612.67</w:t>
            </w:r>
          </w:p>
        </w:tc>
        <w:tc>
          <w:tcPr>
            <w:tcW w:w="1460" w:type="dxa"/>
            <w:tcBorders>
              <w:top w:val="nil"/>
              <w:left w:val="nil"/>
              <w:bottom w:val="nil"/>
              <w:right w:val="nil"/>
            </w:tcBorders>
          </w:tcPr>
          <w:p w14:paraId="36DC5B6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175.50</w:t>
            </w:r>
          </w:p>
        </w:tc>
      </w:tr>
      <w:tr w:rsidR="009E1D45" w14:paraId="79490D53" w14:textId="77777777" w:rsidTr="001019DE">
        <w:trPr>
          <w:trHeight w:val="305"/>
          <w:jc w:val="center"/>
        </w:trPr>
        <w:tc>
          <w:tcPr>
            <w:tcW w:w="2402" w:type="dxa"/>
            <w:tcBorders>
              <w:top w:val="nil"/>
              <w:left w:val="nil"/>
              <w:bottom w:val="nil"/>
              <w:right w:val="nil"/>
            </w:tcBorders>
          </w:tcPr>
          <w:p w14:paraId="2FC40E73"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0F6B2CF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(880.26)</w:t>
            </w:r>
          </w:p>
        </w:tc>
        <w:tc>
          <w:tcPr>
            <w:tcW w:w="1460" w:type="dxa"/>
            <w:tcBorders>
              <w:top w:val="nil"/>
              <w:left w:val="nil"/>
              <w:bottom w:val="nil"/>
              <w:right w:val="nil"/>
            </w:tcBorders>
          </w:tcPr>
          <w:p w14:paraId="1DA8DBB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(612.23)</w:t>
            </w:r>
          </w:p>
        </w:tc>
        <w:tc>
          <w:tcPr>
            <w:tcW w:w="1460" w:type="dxa"/>
            <w:tcBorders>
              <w:top w:val="nil"/>
              <w:left w:val="nil"/>
              <w:bottom w:val="nil"/>
              <w:right w:val="nil"/>
            </w:tcBorders>
          </w:tcPr>
          <w:p w14:paraId="7202E3F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(1657.36)</w:t>
            </w:r>
          </w:p>
        </w:tc>
        <w:tc>
          <w:tcPr>
            <w:tcW w:w="1459" w:type="dxa"/>
            <w:tcBorders>
              <w:top w:val="nil"/>
              <w:left w:val="nil"/>
              <w:bottom w:val="nil"/>
              <w:right w:val="nil"/>
            </w:tcBorders>
          </w:tcPr>
          <w:p w14:paraId="73F0295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(451.07)</w:t>
            </w:r>
          </w:p>
        </w:tc>
        <w:tc>
          <w:tcPr>
            <w:tcW w:w="1460" w:type="dxa"/>
            <w:tcBorders>
              <w:top w:val="nil"/>
              <w:left w:val="nil"/>
              <w:bottom w:val="nil"/>
              <w:right w:val="nil"/>
            </w:tcBorders>
          </w:tcPr>
          <w:p w14:paraId="5F6EA15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(611.09)</w:t>
            </w:r>
          </w:p>
        </w:tc>
        <w:tc>
          <w:tcPr>
            <w:tcW w:w="1460" w:type="dxa"/>
            <w:tcBorders>
              <w:top w:val="nil"/>
              <w:left w:val="nil"/>
              <w:bottom w:val="nil"/>
              <w:right w:val="nil"/>
            </w:tcBorders>
          </w:tcPr>
          <w:p w14:paraId="323012A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(259.25)</w:t>
            </w:r>
          </w:p>
        </w:tc>
      </w:tr>
      <w:tr w:rsidR="009E1D45" w14:paraId="4E270D4D" w14:textId="77777777" w:rsidTr="001019DE">
        <w:trPr>
          <w:trHeight w:val="284"/>
          <w:jc w:val="center"/>
        </w:trPr>
        <w:tc>
          <w:tcPr>
            <w:tcW w:w="2402" w:type="dxa"/>
            <w:tcBorders>
              <w:top w:val="nil"/>
              <w:left w:val="nil"/>
              <w:bottom w:val="nil"/>
              <w:right w:val="nil"/>
            </w:tcBorders>
          </w:tcPr>
          <w:p w14:paraId="029115E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w:t>
            </w:r>
            <w:proofErr w:type="gramStart"/>
            <w:r>
              <w:rPr>
                <w:rFonts w:ascii="Times New Roman" w:hAnsi="Times New Roman" w:cs="Times New Roman"/>
                <w:kern w:val="0"/>
              </w:rPr>
              <w:t>Non-White</w:t>
            </w:r>
            <w:proofErr w:type="gramEnd"/>
          </w:p>
        </w:tc>
        <w:tc>
          <w:tcPr>
            <w:tcW w:w="1459" w:type="dxa"/>
            <w:tcBorders>
              <w:top w:val="nil"/>
              <w:left w:val="nil"/>
              <w:bottom w:val="nil"/>
              <w:right w:val="nil"/>
            </w:tcBorders>
          </w:tcPr>
          <w:p w14:paraId="1300FB6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-2081.95</w:t>
            </w:r>
            <w:r>
              <w:rPr>
                <w:rFonts w:ascii="Times New Roman" w:hAnsi="Times New Roman" w:cs="Times New Roman"/>
                <w:kern w:val="0"/>
                <w:vertAlign w:val="superscript"/>
              </w:rPr>
              <w:t>**</w:t>
            </w:r>
          </w:p>
        </w:tc>
        <w:tc>
          <w:tcPr>
            <w:tcW w:w="1460" w:type="dxa"/>
            <w:tcBorders>
              <w:top w:val="nil"/>
              <w:left w:val="nil"/>
              <w:bottom w:val="nil"/>
              <w:right w:val="nil"/>
            </w:tcBorders>
          </w:tcPr>
          <w:p w14:paraId="27BA88A0"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-484.85</w:t>
            </w:r>
          </w:p>
        </w:tc>
        <w:tc>
          <w:tcPr>
            <w:tcW w:w="1460" w:type="dxa"/>
            <w:tcBorders>
              <w:top w:val="nil"/>
              <w:left w:val="nil"/>
              <w:bottom w:val="nil"/>
              <w:right w:val="nil"/>
            </w:tcBorders>
          </w:tcPr>
          <w:p w14:paraId="3A182E8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535.00</w:t>
            </w:r>
          </w:p>
        </w:tc>
        <w:tc>
          <w:tcPr>
            <w:tcW w:w="1459" w:type="dxa"/>
            <w:tcBorders>
              <w:top w:val="nil"/>
              <w:left w:val="nil"/>
              <w:bottom w:val="nil"/>
              <w:right w:val="nil"/>
            </w:tcBorders>
          </w:tcPr>
          <w:p w14:paraId="4CBEBB8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-0.96</w:t>
            </w:r>
          </w:p>
        </w:tc>
        <w:tc>
          <w:tcPr>
            <w:tcW w:w="1460" w:type="dxa"/>
            <w:tcBorders>
              <w:top w:val="nil"/>
              <w:left w:val="nil"/>
              <w:bottom w:val="nil"/>
              <w:right w:val="nil"/>
            </w:tcBorders>
          </w:tcPr>
          <w:p w14:paraId="4C2DF26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862.73</w:t>
            </w:r>
          </w:p>
        </w:tc>
        <w:tc>
          <w:tcPr>
            <w:tcW w:w="1460" w:type="dxa"/>
            <w:tcBorders>
              <w:top w:val="nil"/>
              <w:left w:val="nil"/>
              <w:bottom w:val="nil"/>
              <w:right w:val="nil"/>
            </w:tcBorders>
          </w:tcPr>
          <w:p w14:paraId="19B84B2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149.38</w:t>
            </w:r>
            <w:r>
              <w:rPr>
                <w:rFonts w:ascii="Times New Roman" w:hAnsi="Times New Roman" w:cs="Times New Roman"/>
                <w:kern w:val="0"/>
                <w:vertAlign w:val="superscript"/>
              </w:rPr>
              <w:t>***</w:t>
            </w:r>
          </w:p>
        </w:tc>
      </w:tr>
      <w:tr w:rsidR="009E1D45" w14:paraId="2009EA74" w14:textId="77777777" w:rsidTr="001019DE">
        <w:trPr>
          <w:trHeight w:val="305"/>
          <w:jc w:val="center"/>
        </w:trPr>
        <w:tc>
          <w:tcPr>
            <w:tcW w:w="2402" w:type="dxa"/>
            <w:tcBorders>
              <w:top w:val="nil"/>
              <w:left w:val="nil"/>
              <w:bottom w:val="nil"/>
              <w:right w:val="nil"/>
            </w:tcBorders>
          </w:tcPr>
          <w:p w14:paraId="4B36146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74BA37B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(925.60)</w:t>
            </w:r>
          </w:p>
        </w:tc>
        <w:tc>
          <w:tcPr>
            <w:tcW w:w="1460" w:type="dxa"/>
            <w:tcBorders>
              <w:top w:val="nil"/>
              <w:left w:val="nil"/>
              <w:bottom w:val="nil"/>
              <w:right w:val="nil"/>
            </w:tcBorders>
          </w:tcPr>
          <w:p w14:paraId="26F8686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(587.89)</w:t>
            </w:r>
          </w:p>
        </w:tc>
        <w:tc>
          <w:tcPr>
            <w:tcW w:w="1460" w:type="dxa"/>
            <w:tcBorders>
              <w:top w:val="nil"/>
              <w:left w:val="nil"/>
              <w:bottom w:val="nil"/>
              <w:right w:val="nil"/>
            </w:tcBorders>
          </w:tcPr>
          <w:p w14:paraId="22CB350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(422.97)</w:t>
            </w:r>
          </w:p>
        </w:tc>
        <w:tc>
          <w:tcPr>
            <w:tcW w:w="1459" w:type="dxa"/>
            <w:tcBorders>
              <w:top w:val="nil"/>
              <w:left w:val="nil"/>
              <w:bottom w:val="nil"/>
              <w:right w:val="nil"/>
            </w:tcBorders>
          </w:tcPr>
          <w:p w14:paraId="68BE2B0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(187.97)</w:t>
            </w:r>
          </w:p>
        </w:tc>
        <w:tc>
          <w:tcPr>
            <w:tcW w:w="1460" w:type="dxa"/>
            <w:tcBorders>
              <w:top w:val="nil"/>
              <w:left w:val="nil"/>
              <w:bottom w:val="nil"/>
              <w:right w:val="nil"/>
            </w:tcBorders>
          </w:tcPr>
          <w:p w14:paraId="628685E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(521.77)</w:t>
            </w:r>
          </w:p>
        </w:tc>
        <w:tc>
          <w:tcPr>
            <w:tcW w:w="1460" w:type="dxa"/>
            <w:tcBorders>
              <w:top w:val="nil"/>
              <w:left w:val="nil"/>
              <w:bottom w:val="nil"/>
              <w:right w:val="nil"/>
            </w:tcBorders>
          </w:tcPr>
          <w:p w14:paraId="5DCD177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(32.54)</w:t>
            </w:r>
          </w:p>
        </w:tc>
      </w:tr>
      <w:tr w:rsidR="009E1D45" w14:paraId="506A777E" w14:textId="77777777" w:rsidTr="001019DE">
        <w:trPr>
          <w:trHeight w:val="305"/>
          <w:jc w:val="center"/>
        </w:trPr>
        <w:tc>
          <w:tcPr>
            <w:tcW w:w="2402" w:type="dxa"/>
            <w:tcBorders>
              <w:top w:val="nil"/>
              <w:left w:val="nil"/>
              <w:bottom w:val="nil"/>
              <w:right w:val="nil"/>
            </w:tcBorders>
          </w:tcPr>
          <w:p w14:paraId="37741CCA"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Percent Econ. </w:t>
            </w:r>
            <w:proofErr w:type="spellStart"/>
            <w:r>
              <w:rPr>
                <w:rFonts w:ascii="Times New Roman" w:hAnsi="Times New Roman" w:cs="Times New Roman"/>
                <w:kern w:val="0"/>
              </w:rPr>
              <w:t>Disad</w:t>
            </w:r>
            <w:proofErr w:type="spellEnd"/>
            <w:r>
              <w:rPr>
                <w:rFonts w:ascii="Times New Roman" w:hAnsi="Times New Roman" w:cs="Times New Roman"/>
                <w:kern w:val="0"/>
              </w:rPr>
              <w:t>.</w:t>
            </w:r>
          </w:p>
        </w:tc>
        <w:tc>
          <w:tcPr>
            <w:tcW w:w="1459" w:type="dxa"/>
            <w:tcBorders>
              <w:top w:val="nil"/>
              <w:left w:val="nil"/>
              <w:bottom w:val="nil"/>
              <w:right w:val="nil"/>
            </w:tcBorders>
          </w:tcPr>
          <w:p w14:paraId="7C81312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356.43</w:t>
            </w:r>
          </w:p>
        </w:tc>
        <w:tc>
          <w:tcPr>
            <w:tcW w:w="1460" w:type="dxa"/>
            <w:tcBorders>
              <w:top w:val="nil"/>
              <w:left w:val="nil"/>
              <w:bottom w:val="nil"/>
              <w:right w:val="nil"/>
            </w:tcBorders>
          </w:tcPr>
          <w:p w14:paraId="0347486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-31.39</w:t>
            </w:r>
          </w:p>
        </w:tc>
        <w:tc>
          <w:tcPr>
            <w:tcW w:w="1460" w:type="dxa"/>
            <w:tcBorders>
              <w:top w:val="nil"/>
              <w:left w:val="nil"/>
              <w:bottom w:val="nil"/>
              <w:right w:val="nil"/>
            </w:tcBorders>
          </w:tcPr>
          <w:p w14:paraId="60B0BFA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-4.72</w:t>
            </w:r>
          </w:p>
        </w:tc>
        <w:tc>
          <w:tcPr>
            <w:tcW w:w="1459" w:type="dxa"/>
            <w:tcBorders>
              <w:top w:val="nil"/>
              <w:left w:val="nil"/>
              <w:bottom w:val="nil"/>
              <w:right w:val="nil"/>
            </w:tcBorders>
          </w:tcPr>
          <w:p w14:paraId="77B6352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76.62</w:t>
            </w:r>
          </w:p>
        </w:tc>
        <w:tc>
          <w:tcPr>
            <w:tcW w:w="1460" w:type="dxa"/>
            <w:tcBorders>
              <w:top w:val="nil"/>
              <w:left w:val="nil"/>
              <w:bottom w:val="nil"/>
              <w:right w:val="nil"/>
            </w:tcBorders>
          </w:tcPr>
          <w:p w14:paraId="2421F9D4"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110.02</w:t>
            </w:r>
          </w:p>
        </w:tc>
        <w:tc>
          <w:tcPr>
            <w:tcW w:w="1460" w:type="dxa"/>
            <w:tcBorders>
              <w:top w:val="nil"/>
              <w:left w:val="nil"/>
              <w:bottom w:val="nil"/>
              <w:right w:val="nil"/>
            </w:tcBorders>
          </w:tcPr>
          <w:p w14:paraId="4679F9A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-10.42</w:t>
            </w:r>
          </w:p>
        </w:tc>
      </w:tr>
      <w:tr w:rsidR="009E1D45" w14:paraId="0EAB8038" w14:textId="77777777" w:rsidTr="001019DE">
        <w:trPr>
          <w:trHeight w:val="305"/>
          <w:jc w:val="center"/>
        </w:trPr>
        <w:tc>
          <w:tcPr>
            <w:tcW w:w="2402" w:type="dxa"/>
            <w:tcBorders>
              <w:top w:val="nil"/>
              <w:left w:val="nil"/>
              <w:bottom w:val="nil"/>
              <w:right w:val="nil"/>
            </w:tcBorders>
          </w:tcPr>
          <w:p w14:paraId="1F770D18"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353E0FE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(352.43)</w:t>
            </w:r>
          </w:p>
        </w:tc>
        <w:tc>
          <w:tcPr>
            <w:tcW w:w="1460" w:type="dxa"/>
            <w:tcBorders>
              <w:top w:val="nil"/>
              <w:left w:val="nil"/>
              <w:bottom w:val="nil"/>
              <w:right w:val="nil"/>
            </w:tcBorders>
          </w:tcPr>
          <w:p w14:paraId="28F52E5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(142.81)</w:t>
            </w:r>
          </w:p>
        </w:tc>
        <w:tc>
          <w:tcPr>
            <w:tcW w:w="1460" w:type="dxa"/>
            <w:tcBorders>
              <w:top w:val="nil"/>
              <w:left w:val="nil"/>
              <w:bottom w:val="nil"/>
              <w:right w:val="nil"/>
            </w:tcBorders>
          </w:tcPr>
          <w:p w14:paraId="60FFB17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(153.70)</w:t>
            </w:r>
          </w:p>
        </w:tc>
        <w:tc>
          <w:tcPr>
            <w:tcW w:w="1459" w:type="dxa"/>
            <w:tcBorders>
              <w:top w:val="nil"/>
              <w:left w:val="nil"/>
              <w:bottom w:val="nil"/>
              <w:right w:val="nil"/>
            </w:tcBorders>
          </w:tcPr>
          <w:p w14:paraId="4C49329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(79.49)</w:t>
            </w:r>
          </w:p>
        </w:tc>
        <w:tc>
          <w:tcPr>
            <w:tcW w:w="1460" w:type="dxa"/>
            <w:tcBorders>
              <w:top w:val="nil"/>
              <w:left w:val="nil"/>
              <w:bottom w:val="nil"/>
              <w:right w:val="nil"/>
            </w:tcBorders>
          </w:tcPr>
          <w:p w14:paraId="2F25F84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(66.54)</w:t>
            </w:r>
          </w:p>
        </w:tc>
        <w:tc>
          <w:tcPr>
            <w:tcW w:w="1460" w:type="dxa"/>
            <w:tcBorders>
              <w:top w:val="nil"/>
              <w:left w:val="nil"/>
              <w:bottom w:val="nil"/>
              <w:right w:val="nil"/>
            </w:tcBorders>
          </w:tcPr>
          <w:p w14:paraId="5EB2DBE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(28.87)</w:t>
            </w:r>
          </w:p>
        </w:tc>
      </w:tr>
      <w:tr w:rsidR="009E1D45" w14:paraId="10FACAB7" w14:textId="77777777" w:rsidTr="001019DE">
        <w:trPr>
          <w:trHeight w:val="305"/>
          <w:jc w:val="center"/>
        </w:trPr>
        <w:tc>
          <w:tcPr>
            <w:tcW w:w="2402" w:type="dxa"/>
            <w:tcBorders>
              <w:top w:val="nil"/>
              <w:left w:val="nil"/>
              <w:bottom w:val="nil"/>
              <w:right w:val="nil"/>
            </w:tcBorders>
          </w:tcPr>
          <w:p w14:paraId="6462A082"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Percent SWD</w:t>
            </w:r>
          </w:p>
        </w:tc>
        <w:tc>
          <w:tcPr>
            <w:tcW w:w="1459" w:type="dxa"/>
            <w:tcBorders>
              <w:top w:val="nil"/>
              <w:left w:val="nil"/>
              <w:bottom w:val="nil"/>
              <w:right w:val="nil"/>
            </w:tcBorders>
          </w:tcPr>
          <w:p w14:paraId="36B495F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777.46</w:t>
            </w:r>
          </w:p>
        </w:tc>
        <w:tc>
          <w:tcPr>
            <w:tcW w:w="1460" w:type="dxa"/>
            <w:tcBorders>
              <w:top w:val="nil"/>
              <w:left w:val="nil"/>
              <w:bottom w:val="nil"/>
              <w:right w:val="nil"/>
            </w:tcBorders>
          </w:tcPr>
          <w:p w14:paraId="48E9C61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-217.61</w:t>
            </w:r>
          </w:p>
        </w:tc>
        <w:tc>
          <w:tcPr>
            <w:tcW w:w="1460" w:type="dxa"/>
            <w:tcBorders>
              <w:top w:val="nil"/>
              <w:left w:val="nil"/>
              <w:bottom w:val="nil"/>
              <w:right w:val="nil"/>
            </w:tcBorders>
          </w:tcPr>
          <w:p w14:paraId="4B609A3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-380.65</w:t>
            </w:r>
          </w:p>
        </w:tc>
        <w:tc>
          <w:tcPr>
            <w:tcW w:w="1459" w:type="dxa"/>
            <w:tcBorders>
              <w:top w:val="nil"/>
              <w:left w:val="nil"/>
              <w:bottom w:val="nil"/>
              <w:right w:val="nil"/>
            </w:tcBorders>
          </w:tcPr>
          <w:p w14:paraId="540955F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265.49</w:t>
            </w:r>
          </w:p>
        </w:tc>
        <w:tc>
          <w:tcPr>
            <w:tcW w:w="1460" w:type="dxa"/>
            <w:tcBorders>
              <w:top w:val="nil"/>
              <w:left w:val="nil"/>
              <w:bottom w:val="nil"/>
              <w:right w:val="nil"/>
            </w:tcBorders>
          </w:tcPr>
          <w:p w14:paraId="05330B9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-189.02</w:t>
            </w:r>
          </w:p>
        </w:tc>
        <w:tc>
          <w:tcPr>
            <w:tcW w:w="1460" w:type="dxa"/>
            <w:tcBorders>
              <w:top w:val="nil"/>
              <w:left w:val="nil"/>
              <w:bottom w:val="nil"/>
              <w:right w:val="nil"/>
            </w:tcBorders>
          </w:tcPr>
          <w:p w14:paraId="124F8DAC"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88.74</w:t>
            </w:r>
          </w:p>
        </w:tc>
      </w:tr>
      <w:tr w:rsidR="009E1D45" w14:paraId="362E3FA8" w14:textId="77777777" w:rsidTr="001019DE">
        <w:trPr>
          <w:trHeight w:val="284"/>
          <w:jc w:val="center"/>
        </w:trPr>
        <w:tc>
          <w:tcPr>
            <w:tcW w:w="2402" w:type="dxa"/>
            <w:tcBorders>
              <w:top w:val="nil"/>
              <w:left w:val="nil"/>
              <w:bottom w:val="nil"/>
              <w:right w:val="nil"/>
            </w:tcBorders>
          </w:tcPr>
          <w:p w14:paraId="003F900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nil"/>
              <w:right w:val="nil"/>
            </w:tcBorders>
          </w:tcPr>
          <w:p w14:paraId="2185CD5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(902.09)</w:t>
            </w:r>
          </w:p>
        </w:tc>
        <w:tc>
          <w:tcPr>
            <w:tcW w:w="1460" w:type="dxa"/>
            <w:tcBorders>
              <w:top w:val="nil"/>
              <w:left w:val="nil"/>
              <w:bottom w:val="nil"/>
              <w:right w:val="nil"/>
            </w:tcBorders>
          </w:tcPr>
          <w:p w14:paraId="25243AAF"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(581.04)</w:t>
            </w:r>
          </w:p>
        </w:tc>
        <w:tc>
          <w:tcPr>
            <w:tcW w:w="1460" w:type="dxa"/>
            <w:tcBorders>
              <w:top w:val="nil"/>
              <w:left w:val="nil"/>
              <w:bottom w:val="nil"/>
              <w:right w:val="nil"/>
            </w:tcBorders>
          </w:tcPr>
          <w:p w14:paraId="79EC21E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(799.79)</w:t>
            </w:r>
          </w:p>
        </w:tc>
        <w:tc>
          <w:tcPr>
            <w:tcW w:w="1459" w:type="dxa"/>
            <w:tcBorders>
              <w:top w:val="nil"/>
              <w:left w:val="nil"/>
              <w:bottom w:val="nil"/>
              <w:right w:val="nil"/>
            </w:tcBorders>
          </w:tcPr>
          <w:p w14:paraId="72DD0B4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(221.00)</w:t>
            </w:r>
          </w:p>
        </w:tc>
        <w:tc>
          <w:tcPr>
            <w:tcW w:w="1460" w:type="dxa"/>
            <w:tcBorders>
              <w:top w:val="nil"/>
              <w:left w:val="nil"/>
              <w:bottom w:val="nil"/>
              <w:right w:val="nil"/>
            </w:tcBorders>
          </w:tcPr>
          <w:p w14:paraId="2505BE51"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(446.24)</w:t>
            </w:r>
          </w:p>
        </w:tc>
        <w:tc>
          <w:tcPr>
            <w:tcW w:w="1460" w:type="dxa"/>
            <w:tcBorders>
              <w:top w:val="nil"/>
              <w:left w:val="nil"/>
              <w:bottom w:val="nil"/>
              <w:right w:val="nil"/>
            </w:tcBorders>
          </w:tcPr>
          <w:p w14:paraId="6862ED15"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(110.83)</w:t>
            </w:r>
          </w:p>
        </w:tc>
      </w:tr>
      <w:tr w:rsidR="009E1D45" w14:paraId="23754A0D" w14:textId="77777777" w:rsidTr="001019DE">
        <w:trPr>
          <w:trHeight w:val="305"/>
          <w:jc w:val="center"/>
        </w:trPr>
        <w:tc>
          <w:tcPr>
            <w:tcW w:w="2402" w:type="dxa"/>
            <w:tcBorders>
              <w:top w:val="nil"/>
              <w:left w:val="nil"/>
              <w:bottom w:val="nil"/>
              <w:right w:val="nil"/>
            </w:tcBorders>
          </w:tcPr>
          <w:p w14:paraId="274CE1A1"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Log Dist. Enrollment</w:t>
            </w:r>
          </w:p>
        </w:tc>
        <w:tc>
          <w:tcPr>
            <w:tcW w:w="1459" w:type="dxa"/>
            <w:tcBorders>
              <w:top w:val="nil"/>
              <w:left w:val="nil"/>
              <w:bottom w:val="nil"/>
              <w:right w:val="nil"/>
            </w:tcBorders>
          </w:tcPr>
          <w:p w14:paraId="4B78AFE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1120.59</w:t>
            </w:r>
            <w:r>
              <w:rPr>
                <w:rFonts w:ascii="Times New Roman" w:hAnsi="Times New Roman" w:cs="Times New Roman"/>
                <w:kern w:val="0"/>
                <w:vertAlign w:val="superscript"/>
              </w:rPr>
              <w:t>***</w:t>
            </w:r>
          </w:p>
        </w:tc>
        <w:tc>
          <w:tcPr>
            <w:tcW w:w="1460" w:type="dxa"/>
            <w:tcBorders>
              <w:top w:val="nil"/>
              <w:left w:val="nil"/>
              <w:bottom w:val="nil"/>
              <w:right w:val="nil"/>
            </w:tcBorders>
          </w:tcPr>
          <w:p w14:paraId="70014FFD"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552.50</w:t>
            </w:r>
            <w:r>
              <w:rPr>
                <w:rFonts w:ascii="Times New Roman" w:hAnsi="Times New Roman" w:cs="Times New Roman"/>
                <w:kern w:val="0"/>
                <w:vertAlign w:val="superscript"/>
              </w:rPr>
              <w:t>***</w:t>
            </w:r>
          </w:p>
        </w:tc>
        <w:tc>
          <w:tcPr>
            <w:tcW w:w="1460" w:type="dxa"/>
            <w:tcBorders>
              <w:top w:val="nil"/>
              <w:left w:val="nil"/>
              <w:bottom w:val="nil"/>
              <w:right w:val="nil"/>
            </w:tcBorders>
          </w:tcPr>
          <w:p w14:paraId="7D668EA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-1863.51</w:t>
            </w:r>
            <w:r>
              <w:rPr>
                <w:rFonts w:ascii="Times New Roman" w:hAnsi="Times New Roman" w:cs="Times New Roman"/>
                <w:kern w:val="0"/>
                <w:vertAlign w:val="superscript"/>
              </w:rPr>
              <w:t>***</w:t>
            </w:r>
          </w:p>
        </w:tc>
        <w:tc>
          <w:tcPr>
            <w:tcW w:w="1459" w:type="dxa"/>
            <w:tcBorders>
              <w:top w:val="nil"/>
              <w:left w:val="nil"/>
              <w:bottom w:val="nil"/>
              <w:right w:val="nil"/>
            </w:tcBorders>
          </w:tcPr>
          <w:p w14:paraId="627B6C2A"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-270.66</w:t>
            </w:r>
            <w:r>
              <w:rPr>
                <w:rFonts w:ascii="Times New Roman" w:hAnsi="Times New Roman" w:cs="Times New Roman"/>
                <w:kern w:val="0"/>
                <w:vertAlign w:val="superscript"/>
              </w:rPr>
              <w:t>***</w:t>
            </w:r>
          </w:p>
        </w:tc>
        <w:tc>
          <w:tcPr>
            <w:tcW w:w="1460" w:type="dxa"/>
            <w:tcBorders>
              <w:top w:val="nil"/>
              <w:left w:val="nil"/>
              <w:bottom w:val="nil"/>
              <w:right w:val="nil"/>
            </w:tcBorders>
          </w:tcPr>
          <w:p w14:paraId="33F17CD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-46.01</w:t>
            </w:r>
          </w:p>
        </w:tc>
        <w:tc>
          <w:tcPr>
            <w:tcW w:w="1460" w:type="dxa"/>
            <w:tcBorders>
              <w:top w:val="nil"/>
              <w:left w:val="nil"/>
              <w:bottom w:val="nil"/>
              <w:right w:val="nil"/>
            </w:tcBorders>
          </w:tcPr>
          <w:p w14:paraId="524E5DE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-39.09</w:t>
            </w:r>
            <w:r>
              <w:rPr>
                <w:rFonts w:ascii="Times New Roman" w:hAnsi="Times New Roman" w:cs="Times New Roman"/>
                <w:kern w:val="0"/>
                <w:vertAlign w:val="superscript"/>
              </w:rPr>
              <w:t>*</w:t>
            </w:r>
          </w:p>
        </w:tc>
      </w:tr>
      <w:tr w:rsidR="009E1D45" w14:paraId="77DD7D5C" w14:textId="77777777" w:rsidTr="001019DE">
        <w:trPr>
          <w:trHeight w:val="305"/>
          <w:jc w:val="center"/>
        </w:trPr>
        <w:tc>
          <w:tcPr>
            <w:tcW w:w="2402" w:type="dxa"/>
            <w:tcBorders>
              <w:top w:val="nil"/>
              <w:left w:val="nil"/>
              <w:bottom w:val="single" w:sz="4" w:space="0" w:color="auto"/>
              <w:right w:val="nil"/>
            </w:tcBorders>
          </w:tcPr>
          <w:p w14:paraId="65A6941C"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p>
        </w:tc>
        <w:tc>
          <w:tcPr>
            <w:tcW w:w="1459" w:type="dxa"/>
            <w:tcBorders>
              <w:top w:val="nil"/>
              <w:left w:val="nil"/>
              <w:bottom w:val="single" w:sz="4" w:space="0" w:color="auto"/>
              <w:right w:val="nil"/>
            </w:tcBorders>
          </w:tcPr>
          <w:p w14:paraId="428CE9A3"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(358.18)</w:t>
            </w:r>
          </w:p>
        </w:tc>
        <w:tc>
          <w:tcPr>
            <w:tcW w:w="1460" w:type="dxa"/>
            <w:tcBorders>
              <w:top w:val="nil"/>
              <w:left w:val="nil"/>
              <w:bottom w:val="single" w:sz="4" w:space="0" w:color="auto"/>
              <w:right w:val="nil"/>
            </w:tcBorders>
          </w:tcPr>
          <w:p w14:paraId="32EBE88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(183.48)</w:t>
            </w:r>
          </w:p>
        </w:tc>
        <w:tc>
          <w:tcPr>
            <w:tcW w:w="1460" w:type="dxa"/>
            <w:tcBorders>
              <w:top w:val="nil"/>
              <w:left w:val="nil"/>
              <w:bottom w:val="single" w:sz="4" w:space="0" w:color="auto"/>
              <w:right w:val="nil"/>
            </w:tcBorders>
          </w:tcPr>
          <w:p w14:paraId="1F448CD7"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(332.88)</w:t>
            </w:r>
          </w:p>
        </w:tc>
        <w:tc>
          <w:tcPr>
            <w:tcW w:w="1459" w:type="dxa"/>
            <w:tcBorders>
              <w:top w:val="nil"/>
              <w:left w:val="nil"/>
              <w:bottom w:val="single" w:sz="4" w:space="0" w:color="auto"/>
              <w:right w:val="nil"/>
            </w:tcBorders>
          </w:tcPr>
          <w:p w14:paraId="23DBC90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(74.65)</w:t>
            </w:r>
          </w:p>
        </w:tc>
        <w:tc>
          <w:tcPr>
            <w:tcW w:w="1460" w:type="dxa"/>
            <w:tcBorders>
              <w:top w:val="nil"/>
              <w:left w:val="nil"/>
              <w:bottom w:val="single" w:sz="4" w:space="0" w:color="auto"/>
              <w:right w:val="nil"/>
            </w:tcBorders>
          </w:tcPr>
          <w:p w14:paraId="41BB0E58"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(48.00)</w:t>
            </w:r>
          </w:p>
        </w:tc>
        <w:tc>
          <w:tcPr>
            <w:tcW w:w="1460" w:type="dxa"/>
            <w:tcBorders>
              <w:top w:val="nil"/>
              <w:left w:val="nil"/>
              <w:bottom w:val="single" w:sz="4" w:space="0" w:color="auto"/>
              <w:right w:val="nil"/>
            </w:tcBorders>
          </w:tcPr>
          <w:p w14:paraId="40221DC9"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(22.63)</w:t>
            </w:r>
          </w:p>
        </w:tc>
      </w:tr>
      <w:tr w:rsidR="009E1D45" w14:paraId="49A133EA" w14:textId="77777777" w:rsidTr="001019DE">
        <w:trPr>
          <w:trHeight w:val="284"/>
          <w:jc w:val="center"/>
        </w:trPr>
        <w:tc>
          <w:tcPr>
            <w:tcW w:w="2402" w:type="dxa"/>
            <w:tcBorders>
              <w:left w:val="nil"/>
              <w:bottom w:val="single" w:sz="4" w:space="0" w:color="auto"/>
              <w:right w:val="nil"/>
            </w:tcBorders>
          </w:tcPr>
          <w:p w14:paraId="071F2E5B" w14:textId="77777777" w:rsidR="009E1D45" w:rsidRDefault="009E1D45" w:rsidP="001019DE">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Observations</w:t>
            </w:r>
          </w:p>
        </w:tc>
        <w:tc>
          <w:tcPr>
            <w:tcW w:w="1459" w:type="dxa"/>
            <w:tcBorders>
              <w:left w:val="nil"/>
              <w:bottom w:val="single" w:sz="4" w:space="0" w:color="auto"/>
              <w:right w:val="nil"/>
            </w:tcBorders>
          </w:tcPr>
          <w:p w14:paraId="52421D2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7575</w:t>
            </w:r>
          </w:p>
        </w:tc>
        <w:tc>
          <w:tcPr>
            <w:tcW w:w="1460" w:type="dxa"/>
            <w:tcBorders>
              <w:left w:val="nil"/>
              <w:bottom w:val="single" w:sz="4" w:space="0" w:color="auto"/>
              <w:right w:val="nil"/>
            </w:tcBorders>
          </w:tcPr>
          <w:p w14:paraId="4D65D8B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7575</w:t>
            </w:r>
          </w:p>
        </w:tc>
        <w:tc>
          <w:tcPr>
            <w:tcW w:w="1460" w:type="dxa"/>
            <w:tcBorders>
              <w:left w:val="nil"/>
              <w:bottom w:val="single" w:sz="4" w:space="0" w:color="auto"/>
              <w:right w:val="nil"/>
            </w:tcBorders>
          </w:tcPr>
          <w:p w14:paraId="57385D2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7575</w:t>
            </w:r>
          </w:p>
        </w:tc>
        <w:tc>
          <w:tcPr>
            <w:tcW w:w="1459" w:type="dxa"/>
            <w:tcBorders>
              <w:left w:val="nil"/>
              <w:bottom w:val="single" w:sz="4" w:space="0" w:color="auto"/>
              <w:right w:val="nil"/>
            </w:tcBorders>
          </w:tcPr>
          <w:p w14:paraId="285B0F4B"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7575</w:t>
            </w:r>
          </w:p>
        </w:tc>
        <w:tc>
          <w:tcPr>
            <w:tcW w:w="1460" w:type="dxa"/>
            <w:tcBorders>
              <w:left w:val="nil"/>
              <w:bottom w:val="single" w:sz="4" w:space="0" w:color="auto"/>
              <w:right w:val="nil"/>
            </w:tcBorders>
          </w:tcPr>
          <w:p w14:paraId="48666D76"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7575</w:t>
            </w:r>
          </w:p>
        </w:tc>
        <w:tc>
          <w:tcPr>
            <w:tcW w:w="1460" w:type="dxa"/>
            <w:tcBorders>
              <w:left w:val="nil"/>
              <w:bottom w:val="single" w:sz="4" w:space="0" w:color="auto"/>
              <w:right w:val="nil"/>
            </w:tcBorders>
          </w:tcPr>
          <w:p w14:paraId="1C823112" w14:textId="77777777" w:rsidR="009E1D45" w:rsidRDefault="009E1D45" w:rsidP="001019DE">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7575</w:t>
            </w:r>
          </w:p>
        </w:tc>
      </w:tr>
    </w:tbl>
    <w:p w14:paraId="48517093" w14:textId="77777777" w:rsidR="009E1D45"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7B176C">
        <w:rPr>
          <w:rFonts w:ascii="Times New Roman" w:hAnsi="Times New Roman" w:cs="Times New Roman"/>
          <w:i/>
          <w:iCs/>
          <w:sz w:val="20"/>
          <w:szCs w:val="20"/>
        </w:rPr>
        <w:t xml:space="preserve">Notes: </w:t>
      </w:r>
      <w:r>
        <w:rPr>
          <w:rFonts w:ascii="Times New Roman" w:hAnsi="Times New Roman" w:cs="Times New Roman"/>
          <w:i/>
          <w:iCs/>
          <w:sz w:val="20"/>
          <w:szCs w:val="20"/>
        </w:rPr>
        <w:t xml:space="preserve">Average causal response estimates from Equation (1) aggregated using the weighted average of estimates in Equation (2). Dosage represents a continuous measure of the increase in the millage of the special education property tax in each ISD. Columns (1) and (2) present estimates from models with the dosage in a linear functional form, and columns (3) and (4) present models with a quadratic functional form. All standard errors clustered at the ISD-level and unconditional on covariates.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0.1,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0.05, </w:t>
      </w:r>
      <w:r>
        <w:rPr>
          <w:rFonts w:ascii="Times New Roman" w:hAnsi="Times New Roman" w:cs="Times New Roman"/>
          <w:kern w:val="0"/>
          <w:sz w:val="20"/>
          <w:szCs w:val="20"/>
          <w:vertAlign w:val="superscript"/>
        </w:rPr>
        <w:t>***</w:t>
      </w:r>
      <w:r>
        <w:rPr>
          <w:rFonts w:ascii="Times New Roman" w:hAnsi="Times New Roman" w:cs="Times New Roman"/>
          <w:kern w:val="0"/>
          <w:sz w:val="20"/>
          <w:szCs w:val="20"/>
        </w:rPr>
        <w:t xml:space="preserve"> </w:t>
      </w:r>
      <w:r>
        <w:rPr>
          <w:rFonts w:ascii="Times New Roman" w:hAnsi="Times New Roman" w:cs="Times New Roman"/>
          <w:i/>
          <w:iCs/>
          <w:kern w:val="0"/>
          <w:sz w:val="20"/>
          <w:szCs w:val="20"/>
        </w:rPr>
        <w:t>p</w:t>
      </w:r>
      <w:r>
        <w:rPr>
          <w:rFonts w:ascii="Times New Roman" w:hAnsi="Times New Roman" w:cs="Times New Roman"/>
          <w:kern w:val="0"/>
          <w:sz w:val="20"/>
          <w:szCs w:val="20"/>
        </w:rPr>
        <w:t xml:space="preserve"> &lt; 0.01</w:t>
      </w:r>
    </w:p>
    <w:p w14:paraId="775885B3" w14:textId="77777777" w:rsidR="009E1D45" w:rsidRPr="00667704" w:rsidRDefault="009E1D45" w:rsidP="009E1D45">
      <w:pPr>
        <w:rPr>
          <w:rFonts w:ascii="Times New Roman" w:hAnsi="Times New Roman" w:cs="Times New Roman"/>
        </w:rPr>
      </w:pPr>
    </w:p>
    <w:p w14:paraId="1A0E1D1D" w14:textId="77777777" w:rsidR="009E1D45" w:rsidRPr="000E0BBF" w:rsidRDefault="009E1D45" w:rsidP="009E1D45">
      <w:pPr>
        <w:rPr>
          <w:rFonts w:ascii="Times New Roman" w:hAnsi="Times New Roman" w:cs="Times New Roman"/>
          <w:b/>
          <w:bCs/>
        </w:rPr>
      </w:pPr>
    </w:p>
    <w:p w14:paraId="2A7FA965"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Figure A1: Event Study of ISD-Level Per Pupil Total Special Education Revenues following Earmarked Property Tax Increases</w:t>
      </w:r>
      <w:r w:rsidRPr="000E0BBF">
        <w:rPr>
          <w:rFonts w:ascii="Times New Roman" w:hAnsi="Times New Roman" w:cs="Times New Roman"/>
          <w:b/>
          <w:bCs/>
          <w:noProof/>
        </w:rPr>
        <w:drawing>
          <wp:inline distT="0" distB="0" distL="0" distR="0" wp14:anchorId="454E33AF" wp14:editId="2F394AAE">
            <wp:extent cx="5943600" cy="2967355"/>
            <wp:effectExtent l="0" t="0" r="0" b="4445"/>
            <wp:docPr id="1602108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08911" name="Picture 160210891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7E924295" w14:textId="77777777" w:rsidR="009E1D45" w:rsidRPr="000E0BBF"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0E0BBF">
        <w:rPr>
          <w:rFonts w:ascii="Times New Roman" w:hAnsi="Times New Roman" w:cs="Times New Roman"/>
          <w:i/>
          <w:iCs/>
          <w:sz w:val="20"/>
          <w:szCs w:val="20"/>
        </w:rPr>
        <w:t>Notes: Event study estimates and 95% confidence intervals of the effects of local property tax increases on ISD-level total special education revenues from Equation (3). This model uses a linear functional form for the dosage of treatment and includes all covariates. All standard errors clustered at the ISD-level.</w:t>
      </w:r>
    </w:p>
    <w:p w14:paraId="4C11457D" w14:textId="77777777" w:rsidR="009E1D45" w:rsidRPr="000E0BBF" w:rsidRDefault="009E1D45" w:rsidP="009E1D45">
      <w:pPr>
        <w:rPr>
          <w:rFonts w:ascii="Times New Roman" w:hAnsi="Times New Roman" w:cs="Times New Roman"/>
        </w:rPr>
      </w:pPr>
    </w:p>
    <w:p w14:paraId="4DA3B3E3" w14:textId="77777777" w:rsidR="009E1D45" w:rsidRPr="000E0BBF" w:rsidRDefault="009E1D45" w:rsidP="009E1D45">
      <w:pPr>
        <w:rPr>
          <w:rFonts w:ascii="Times New Roman" w:hAnsi="Times New Roman" w:cs="Times New Roman"/>
        </w:rPr>
      </w:pPr>
    </w:p>
    <w:p w14:paraId="1C38DF63" w14:textId="77777777" w:rsidR="009E1D45" w:rsidRPr="000E0BBF" w:rsidRDefault="009E1D45" w:rsidP="009E1D45">
      <w:pPr>
        <w:rPr>
          <w:rFonts w:ascii="Times New Roman" w:hAnsi="Times New Roman" w:cs="Times New Roman"/>
        </w:rPr>
      </w:pPr>
    </w:p>
    <w:p w14:paraId="4CDE9D39" w14:textId="77777777" w:rsidR="009E1D45" w:rsidRPr="000E0BBF" w:rsidRDefault="009E1D45" w:rsidP="009E1D45">
      <w:pPr>
        <w:rPr>
          <w:rFonts w:ascii="Times New Roman" w:hAnsi="Times New Roman" w:cs="Times New Roman"/>
        </w:rPr>
      </w:pPr>
    </w:p>
    <w:p w14:paraId="13427FC2" w14:textId="77777777" w:rsidR="009E1D45" w:rsidRPr="000E0BBF" w:rsidRDefault="009E1D45" w:rsidP="009E1D45">
      <w:pPr>
        <w:rPr>
          <w:rFonts w:ascii="Times New Roman" w:hAnsi="Times New Roman" w:cs="Times New Roman"/>
        </w:rPr>
      </w:pPr>
    </w:p>
    <w:p w14:paraId="792BE61A" w14:textId="77777777" w:rsidR="009E1D45" w:rsidRPr="000E0BBF" w:rsidRDefault="009E1D45" w:rsidP="009E1D45">
      <w:pPr>
        <w:rPr>
          <w:rFonts w:ascii="Times New Roman" w:hAnsi="Times New Roman" w:cs="Times New Roman"/>
        </w:rPr>
      </w:pPr>
    </w:p>
    <w:p w14:paraId="24276F3B" w14:textId="77777777" w:rsidR="009E1D45" w:rsidRPr="000E0BBF" w:rsidRDefault="009E1D45" w:rsidP="009E1D45">
      <w:pPr>
        <w:rPr>
          <w:rFonts w:ascii="Times New Roman" w:hAnsi="Times New Roman" w:cs="Times New Roman"/>
        </w:rPr>
      </w:pPr>
    </w:p>
    <w:p w14:paraId="17E2E09C" w14:textId="77777777" w:rsidR="009E1D45" w:rsidRPr="000E0BBF" w:rsidRDefault="009E1D45" w:rsidP="009E1D45">
      <w:pPr>
        <w:rPr>
          <w:rFonts w:ascii="Times New Roman" w:hAnsi="Times New Roman" w:cs="Times New Roman"/>
        </w:rPr>
      </w:pPr>
    </w:p>
    <w:p w14:paraId="75CF80A8" w14:textId="77777777" w:rsidR="009E1D45" w:rsidRPr="000E0BBF" w:rsidRDefault="009E1D45" w:rsidP="009E1D45">
      <w:pPr>
        <w:rPr>
          <w:rFonts w:ascii="Times New Roman" w:hAnsi="Times New Roman" w:cs="Times New Roman"/>
        </w:rPr>
      </w:pPr>
    </w:p>
    <w:p w14:paraId="3487B1E1" w14:textId="77777777" w:rsidR="009E1D45" w:rsidRPr="000E0BBF" w:rsidRDefault="009E1D45" w:rsidP="009E1D45">
      <w:pPr>
        <w:rPr>
          <w:rFonts w:ascii="Times New Roman" w:hAnsi="Times New Roman" w:cs="Times New Roman"/>
        </w:rPr>
      </w:pPr>
    </w:p>
    <w:p w14:paraId="54BFE086" w14:textId="77777777" w:rsidR="009E1D45" w:rsidRPr="000E0BBF" w:rsidRDefault="009E1D45" w:rsidP="009E1D45">
      <w:pPr>
        <w:rPr>
          <w:rFonts w:ascii="Times New Roman" w:hAnsi="Times New Roman" w:cs="Times New Roman"/>
        </w:rPr>
      </w:pPr>
    </w:p>
    <w:p w14:paraId="60156213" w14:textId="77777777" w:rsidR="009E1D45" w:rsidRPr="000E0BBF" w:rsidRDefault="009E1D45" w:rsidP="009E1D45">
      <w:pPr>
        <w:rPr>
          <w:rFonts w:ascii="Times New Roman" w:hAnsi="Times New Roman" w:cs="Times New Roman"/>
        </w:rPr>
      </w:pPr>
    </w:p>
    <w:p w14:paraId="2F60543C" w14:textId="77777777" w:rsidR="009E1D45" w:rsidRPr="000E0BBF" w:rsidRDefault="009E1D45" w:rsidP="009E1D45">
      <w:pPr>
        <w:rPr>
          <w:rFonts w:ascii="Times New Roman" w:hAnsi="Times New Roman" w:cs="Times New Roman"/>
        </w:rPr>
      </w:pPr>
    </w:p>
    <w:p w14:paraId="1D8C59C4"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Figure A2: Event Study of ISD-Level Per Pupil Special Education Transfers to Local School Districts following Earmarked Property Tax Increases</w:t>
      </w:r>
      <w:r w:rsidRPr="000E0BBF">
        <w:rPr>
          <w:rFonts w:ascii="Times New Roman" w:hAnsi="Times New Roman" w:cs="Times New Roman"/>
          <w:b/>
          <w:bCs/>
          <w:noProof/>
        </w:rPr>
        <w:drawing>
          <wp:inline distT="0" distB="0" distL="0" distR="0" wp14:anchorId="76D1D5D3" wp14:editId="409F02C0">
            <wp:extent cx="5943600" cy="2967355"/>
            <wp:effectExtent l="0" t="0" r="0" b="4445"/>
            <wp:docPr id="2075674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674311" name="Picture 207567431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2C5C711F" w14:textId="77777777" w:rsidR="009E1D45" w:rsidRPr="000E0BBF"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0E0BBF">
        <w:rPr>
          <w:rFonts w:ascii="Times New Roman" w:hAnsi="Times New Roman" w:cs="Times New Roman"/>
          <w:i/>
          <w:iCs/>
          <w:sz w:val="20"/>
          <w:szCs w:val="20"/>
        </w:rPr>
        <w:t>Notes: Event study estimates and 95% confidence intervals of the effects of local property tax increases on ISD-level transfers of earmarked special education revenues from Equation (3). This model uses a linear functional form for the dosage of treatment and includes all covariates. All standard errors clustered at the ISD-level.</w:t>
      </w:r>
    </w:p>
    <w:p w14:paraId="716C7F96" w14:textId="77777777" w:rsidR="009E1D45" w:rsidRPr="000E0BBF" w:rsidRDefault="009E1D45" w:rsidP="009E1D45">
      <w:pPr>
        <w:rPr>
          <w:rFonts w:ascii="Times New Roman" w:hAnsi="Times New Roman" w:cs="Times New Roman"/>
        </w:rPr>
      </w:pPr>
    </w:p>
    <w:p w14:paraId="6A6788B6" w14:textId="77777777" w:rsidR="009E1D45" w:rsidRPr="000E0BBF" w:rsidRDefault="009E1D45" w:rsidP="009E1D45">
      <w:pPr>
        <w:rPr>
          <w:rFonts w:ascii="Times New Roman" w:hAnsi="Times New Roman" w:cs="Times New Roman"/>
        </w:rPr>
      </w:pPr>
    </w:p>
    <w:p w14:paraId="20F4ABA0" w14:textId="77777777" w:rsidR="009E1D45" w:rsidRPr="000E0BBF" w:rsidRDefault="009E1D45" w:rsidP="009E1D45">
      <w:pPr>
        <w:rPr>
          <w:rFonts w:ascii="Times New Roman" w:hAnsi="Times New Roman" w:cs="Times New Roman"/>
        </w:rPr>
      </w:pPr>
    </w:p>
    <w:p w14:paraId="6568D61D" w14:textId="77777777" w:rsidR="009E1D45" w:rsidRPr="000E0BBF" w:rsidRDefault="009E1D45" w:rsidP="009E1D45">
      <w:pPr>
        <w:rPr>
          <w:rFonts w:ascii="Times New Roman" w:hAnsi="Times New Roman" w:cs="Times New Roman"/>
        </w:rPr>
      </w:pPr>
    </w:p>
    <w:p w14:paraId="01EB1132" w14:textId="77777777" w:rsidR="009E1D45" w:rsidRPr="000E0BBF" w:rsidRDefault="009E1D45" w:rsidP="009E1D45">
      <w:pPr>
        <w:rPr>
          <w:rFonts w:ascii="Times New Roman" w:hAnsi="Times New Roman" w:cs="Times New Roman"/>
        </w:rPr>
      </w:pPr>
    </w:p>
    <w:p w14:paraId="31FF6BE7" w14:textId="77777777" w:rsidR="009E1D45" w:rsidRPr="000E0BBF" w:rsidRDefault="009E1D45" w:rsidP="009E1D45">
      <w:pPr>
        <w:rPr>
          <w:rFonts w:ascii="Times New Roman" w:hAnsi="Times New Roman" w:cs="Times New Roman"/>
        </w:rPr>
      </w:pPr>
    </w:p>
    <w:p w14:paraId="2EDB545D" w14:textId="77777777" w:rsidR="009E1D45" w:rsidRPr="000E0BBF" w:rsidRDefault="009E1D45" w:rsidP="009E1D45">
      <w:pPr>
        <w:rPr>
          <w:rFonts w:ascii="Times New Roman" w:hAnsi="Times New Roman" w:cs="Times New Roman"/>
        </w:rPr>
      </w:pPr>
    </w:p>
    <w:p w14:paraId="2F403D4B" w14:textId="77777777" w:rsidR="009E1D45" w:rsidRPr="000E0BBF" w:rsidRDefault="009E1D45" w:rsidP="009E1D45">
      <w:pPr>
        <w:rPr>
          <w:rFonts w:ascii="Times New Roman" w:hAnsi="Times New Roman" w:cs="Times New Roman"/>
        </w:rPr>
      </w:pPr>
    </w:p>
    <w:p w14:paraId="4E7C20FD" w14:textId="77777777" w:rsidR="009E1D45" w:rsidRPr="000E0BBF" w:rsidRDefault="009E1D45" w:rsidP="009E1D45">
      <w:pPr>
        <w:rPr>
          <w:rFonts w:ascii="Times New Roman" w:hAnsi="Times New Roman" w:cs="Times New Roman"/>
        </w:rPr>
      </w:pPr>
    </w:p>
    <w:p w14:paraId="0B0A7356" w14:textId="77777777" w:rsidR="009E1D45" w:rsidRPr="000E0BBF" w:rsidRDefault="009E1D45" w:rsidP="009E1D45">
      <w:pPr>
        <w:rPr>
          <w:rFonts w:ascii="Times New Roman" w:hAnsi="Times New Roman" w:cs="Times New Roman"/>
        </w:rPr>
      </w:pPr>
    </w:p>
    <w:p w14:paraId="2AF77386" w14:textId="77777777" w:rsidR="009E1D45" w:rsidRPr="000E0BBF" w:rsidRDefault="009E1D45" w:rsidP="009E1D45">
      <w:pPr>
        <w:rPr>
          <w:rFonts w:ascii="Times New Roman" w:hAnsi="Times New Roman" w:cs="Times New Roman"/>
        </w:rPr>
      </w:pPr>
    </w:p>
    <w:p w14:paraId="7217A7E1" w14:textId="77777777" w:rsidR="009E1D45" w:rsidRPr="000E0BBF" w:rsidRDefault="009E1D45" w:rsidP="009E1D45">
      <w:pPr>
        <w:rPr>
          <w:rFonts w:ascii="Times New Roman" w:hAnsi="Times New Roman" w:cs="Times New Roman"/>
        </w:rPr>
      </w:pPr>
    </w:p>
    <w:p w14:paraId="10905887" w14:textId="77777777" w:rsidR="009E1D45" w:rsidRPr="000E0BBF" w:rsidRDefault="009E1D45" w:rsidP="009E1D45">
      <w:pPr>
        <w:rPr>
          <w:rFonts w:ascii="Times New Roman" w:hAnsi="Times New Roman" w:cs="Times New Roman"/>
        </w:rPr>
      </w:pPr>
    </w:p>
    <w:p w14:paraId="0CA0FB34"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Figure A3: Event Study of District-Level Per Pupil Special Education Expenditures following Earmarked Property Tax Increases</w:t>
      </w:r>
      <w:r w:rsidRPr="000E0BBF">
        <w:rPr>
          <w:rFonts w:ascii="Times New Roman" w:hAnsi="Times New Roman" w:cs="Times New Roman"/>
          <w:b/>
          <w:bCs/>
          <w:noProof/>
        </w:rPr>
        <w:t xml:space="preserve"> </w:t>
      </w:r>
      <w:r>
        <w:rPr>
          <w:rFonts w:ascii="Times New Roman" w:hAnsi="Times New Roman" w:cs="Times New Roman"/>
          <w:i/>
          <w:iCs/>
          <w:noProof/>
          <w:sz w:val="20"/>
          <w:szCs w:val="20"/>
        </w:rPr>
        <w:drawing>
          <wp:inline distT="0" distB="0" distL="0" distR="0" wp14:anchorId="39C42723" wp14:editId="453C97F9">
            <wp:extent cx="5943600" cy="2967355"/>
            <wp:effectExtent l="0" t="0" r="0" b="4445"/>
            <wp:docPr id="1675985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85765" name="Picture 1675985765"/>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16D1AA4C" w14:textId="77777777" w:rsidR="009E1D45" w:rsidRPr="000E0BBF"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0E0BBF">
        <w:rPr>
          <w:rFonts w:ascii="Times New Roman" w:hAnsi="Times New Roman" w:cs="Times New Roman"/>
          <w:i/>
          <w:iCs/>
          <w:sz w:val="20"/>
          <w:szCs w:val="20"/>
        </w:rPr>
        <w:t>Notes: Event study estimates and 95% confidence intervals of the effects of local property tax increases on district-level special education expenditures from Equation (3). This model uses a linear functional form for the dosage of treatment and includes all covariates. All standard errors clustered at the ISD-level.</w:t>
      </w:r>
    </w:p>
    <w:p w14:paraId="047EE620" w14:textId="77777777" w:rsidR="009E1D45" w:rsidRPr="000E0BBF" w:rsidRDefault="009E1D45" w:rsidP="009E1D45">
      <w:pPr>
        <w:rPr>
          <w:rFonts w:ascii="Times New Roman" w:hAnsi="Times New Roman" w:cs="Times New Roman"/>
        </w:rPr>
      </w:pPr>
    </w:p>
    <w:p w14:paraId="134F1C2A" w14:textId="77777777" w:rsidR="009E1D45" w:rsidRPr="000E0BBF" w:rsidRDefault="009E1D45" w:rsidP="009E1D45">
      <w:pPr>
        <w:rPr>
          <w:rFonts w:ascii="Times New Roman" w:hAnsi="Times New Roman" w:cs="Times New Roman"/>
        </w:rPr>
      </w:pPr>
    </w:p>
    <w:p w14:paraId="5CF8361F" w14:textId="77777777" w:rsidR="009E1D45" w:rsidRPr="000E0BBF" w:rsidRDefault="009E1D45" w:rsidP="009E1D45">
      <w:pPr>
        <w:rPr>
          <w:rFonts w:ascii="Times New Roman" w:hAnsi="Times New Roman" w:cs="Times New Roman"/>
        </w:rPr>
      </w:pPr>
    </w:p>
    <w:p w14:paraId="39412C50" w14:textId="77777777" w:rsidR="009E1D45" w:rsidRPr="000E0BBF" w:rsidRDefault="009E1D45" w:rsidP="009E1D45">
      <w:pPr>
        <w:rPr>
          <w:rFonts w:ascii="Times New Roman" w:hAnsi="Times New Roman" w:cs="Times New Roman"/>
        </w:rPr>
      </w:pPr>
    </w:p>
    <w:p w14:paraId="144DC5DE" w14:textId="77777777" w:rsidR="009E1D45" w:rsidRPr="000E0BBF" w:rsidRDefault="009E1D45" w:rsidP="009E1D45">
      <w:pPr>
        <w:rPr>
          <w:rFonts w:ascii="Times New Roman" w:hAnsi="Times New Roman" w:cs="Times New Roman"/>
        </w:rPr>
      </w:pPr>
    </w:p>
    <w:p w14:paraId="06AC9019" w14:textId="77777777" w:rsidR="009E1D45" w:rsidRPr="000E0BBF" w:rsidRDefault="009E1D45" w:rsidP="009E1D45">
      <w:pPr>
        <w:rPr>
          <w:rFonts w:ascii="Times New Roman" w:hAnsi="Times New Roman" w:cs="Times New Roman"/>
        </w:rPr>
      </w:pPr>
    </w:p>
    <w:p w14:paraId="2520B646" w14:textId="77777777" w:rsidR="009E1D45" w:rsidRPr="000E0BBF" w:rsidRDefault="009E1D45" w:rsidP="009E1D45">
      <w:pPr>
        <w:rPr>
          <w:rFonts w:ascii="Times New Roman" w:hAnsi="Times New Roman" w:cs="Times New Roman"/>
        </w:rPr>
      </w:pPr>
    </w:p>
    <w:p w14:paraId="72FD4ED4" w14:textId="77777777" w:rsidR="009E1D45" w:rsidRPr="000E0BBF" w:rsidRDefault="009E1D45" w:rsidP="009E1D45">
      <w:pPr>
        <w:rPr>
          <w:rFonts w:ascii="Times New Roman" w:hAnsi="Times New Roman" w:cs="Times New Roman"/>
        </w:rPr>
      </w:pPr>
    </w:p>
    <w:p w14:paraId="7AC60C14" w14:textId="77777777" w:rsidR="009E1D45" w:rsidRPr="000E0BBF" w:rsidRDefault="009E1D45" w:rsidP="009E1D45">
      <w:pPr>
        <w:rPr>
          <w:rFonts w:ascii="Times New Roman" w:hAnsi="Times New Roman" w:cs="Times New Roman"/>
        </w:rPr>
      </w:pPr>
    </w:p>
    <w:p w14:paraId="1ACA5F38" w14:textId="77777777" w:rsidR="009E1D45" w:rsidRPr="000E0BBF" w:rsidRDefault="009E1D45" w:rsidP="009E1D45">
      <w:pPr>
        <w:rPr>
          <w:rFonts w:ascii="Times New Roman" w:hAnsi="Times New Roman" w:cs="Times New Roman"/>
        </w:rPr>
      </w:pPr>
    </w:p>
    <w:p w14:paraId="60B395DF" w14:textId="77777777" w:rsidR="009E1D45" w:rsidRPr="000E0BBF" w:rsidRDefault="009E1D45" w:rsidP="009E1D45">
      <w:pPr>
        <w:rPr>
          <w:rFonts w:ascii="Times New Roman" w:hAnsi="Times New Roman" w:cs="Times New Roman"/>
        </w:rPr>
      </w:pPr>
    </w:p>
    <w:p w14:paraId="6489847F" w14:textId="77777777" w:rsidR="009E1D45" w:rsidRPr="000E0BBF" w:rsidRDefault="009E1D45" w:rsidP="009E1D45">
      <w:pPr>
        <w:rPr>
          <w:rFonts w:ascii="Times New Roman" w:hAnsi="Times New Roman" w:cs="Times New Roman"/>
        </w:rPr>
      </w:pPr>
    </w:p>
    <w:p w14:paraId="0AACD8FA" w14:textId="77777777" w:rsidR="009E1D45" w:rsidRPr="000E0BBF" w:rsidRDefault="009E1D45" w:rsidP="009E1D45">
      <w:pPr>
        <w:rPr>
          <w:rFonts w:ascii="Times New Roman" w:hAnsi="Times New Roman" w:cs="Times New Roman"/>
        </w:rPr>
      </w:pPr>
    </w:p>
    <w:p w14:paraId="240CA452" w14:textId="77777777" w:rsidR="009E1D45" w:rsidRPr="000E0BBF" w:rsidRDefault="009E1D45" w:rsidP="009E1D45">
      <w:pPr>
        <w:jc w:val="center"/>
        <w:rPr>
          <w:rFonts w:ascii="Times New Roman" w:hAnsi="Times New Roman" w:cs="Times New Roman"/>
          <w:b/>
          <w:bCs/>
        </w:rPr>
      </w:pPr>
      <w:r w:rsidRPr="000E0BBF">
        <w:rPr>
          <w:rFonts w:ascii="Times New Roman" w:hAnsi="Times New Roman" w:cs="Times New Roman"/>
          <w:b/>
          <w:bCs/>
        </w:rPr>
        <w:lastRenderedPageBreak/>
        <w:t>Figure A4: Event Study of District-Level Per Pupil Non-Special Education Expenditures following Earmarked Property Tax Increases</w:t>
      </w:r>
      <w:r>
        <w:rPr>
          <w:rFonts w:ascii="Times New Roman" w:hAnsi="Times New Roman" w:cs="Times New Roman"/>
          <w:b/>
          <w:bCs/>
          <w:noProof/>
        </w:rPr>
        <w:drawing>
          <wp:inline distT="0" distB="0" distL="0" distR="0" wp14:anchorId="63970154" wp14:editId="05FFE68E">
            <wp:extent cx="5943600" cy="2967355"/>
            <wp:effectExtent l="0" t="0" r="0" b="4445"/>
            <wp:docPr id="21039976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97632" name="Picture 2103997632"/>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2967355"/>
                    </a:xfrm>
                    <a:prstGeom prst="rect">
                      <a:avLst/>
                    </a:prstGeom>
                  </pic:spPr>
                </pic:pic>
              </a:graphicData>
            </a:graphic>
          </wp:inline>
        </w:drawing>
      </w:r>
    </w:p>
    <w:p w14:paraId="1408ABCB" w14:textId="77777777" w:rsidR="009E1D45" w:rsidRPr="000E0BBF" w:rsidRDefault="009E1D45" w:rsidP="009E1D45">
      <w:pPr>
        <w:widowControl w:val="0"/>
        <w:autoSpaceDE w:val="0"/>
        <w:autoSpaceDN w:val="0"/>
        <w:adjustRightInd w:val="0"/>
        <w:spacing w:after="0" w:line="240" w:lineRule="auto"/>
        <w:rPr>
          <w:rFonts w:ascii="Times New Roman" w:hAnsi="Times New Roman" w:cs="Times New Roman"/>
          <w:kern w:val="0"/>
          <w:sz w:val="20"/>
          <w:szCs w:val="20"/>
        </w:rPr>
      </w:pPr>
      <w:r w:rsidRPr="000E0BBF">
        <w:rPr>
          <w:rFonts w:ascii="Times New Roman" w:hAnsi="Times New Roman" w:cs="Times New Roman"/>
          <w:i/>
          <w:iCs/>
          <w:sz w:val="20"/>
          <w:szCs w:val="20"/>
        </w:rPr>
        <w:t>Notes: Event study estimates and 95% confidence intervals of the effects of local property tax increases on district-level non-special education expenditures from Equation (3). This model uses a linear functional form for the dosage of treatment and includes all covariates. All standard errors clustered at the ISD-level.</w:t>
      </w:r>
    </w:p>
    <w:p w14:paraId="2BB34198" w14:textId="77777777" w:rsidR="009E1D45" w:rsidRPr="000E0BBF" w:rsidRDefault="009E1D45" w:rsidP="009E1D45">
      <w:pPr>
        <w:rPr>
          <w:rFonts w:ascii="Times New Roman" w:hAnsi="Times New Roman" w:cs="Times New Roman"/>
        </w:rPr>
      </w:pPr>
    </w:p>
    <w:p w14:paraId="16E83C90" w14:textId="77777777" w:rsidR="009E1D45" w:rsidRPr="000E0BBF" w:rsidRDefault="009E1D45" w:rsidP="009E1D45">
      <w:pPr>
        <w:rPr>
          <w:rFonts w:ascii="Times New Roman" w:hAnsi="Times New Roman" w:cs="Times New Roman"/>
        </w:rPr>
      </w:pPr>
    </w:p>
    <w:p w14:paraId="666819B5" w14:textId="77777777" w:rsidR="009E1D45" w:rsidRPr="000E0BBF" w:rsidRDefault="009E1D45" w:rsidP="009E1D45">
      <w:pPr>
        <w:rPr>
          <w:rFonts w:ascii="Times New Roman" w:hAnsi="Times New Roman" w:cs="Times New Roman"/>
        </w:rPr>
      </w:pPr>
    </w:p>
    <w:p w14:paraId="42AF13D7" w14:textId="77777777" w:rsidR="009E1D45" w:rsidRPr="000E0BBF" w:rsidRDefault="009E1D45" w:rsidP="009E1D45">
      <w:pPr>
        <w:rPr>
          <w:rFonts w:ascii="Times New Roman" w:hAnsi="Times New Roman" w:cs="Times New Roman"/>
        </w:rPr>
      </w:pPr>
    </w:p>
    <w:p w14:paraId="5198E5D6" w14:textId="77777777" w:rsidR="009E1D45" w:rsidRPr="000E0BBF" w:rsidRDefault="009E1D45" w:rsidP="009E1D45">
      <w:pPr>
        <w:rPr>
          <w:rFonts w:ascii="Times New Roman" w:hAnsi="Times New Roman" w:cs="Times New Roman"/>
        </w:rPr>
      </w:pPr>
    </w:p>
    <w:p w14:paraId="71B62E90" w14:textId="77777777" w:rsidR="009E1D45" w:rsidRPr="000E0BBF" w:rsidRDefault="009E1D45" w:rsidP="009E1D45">
      <w:pPr>
        <w:tabs>
          <w:tab w:val="left" w:pos="3240"/>
        </w:tabs>
        <w:rPr>
          <w:rFonts w:ascii="Times New Roman" w:hAnsi="Times New Roman" w:cs="Times New Roman"/>
        </w:rPr>
      </w:pPr>
      <w:r w:rsidRPr="000E0BBF">
        <w:rPr>
          <w:rFonts w:ascii="Times New Roman" w:hAnsi="Times New Roman" w:cs="Times New Roman"/>
        </w:rPr>
        <w:tab/>
      </w:r>
    </w:p>
    <w:p w14:paraId="752532C2" w14:textId="77777777" w:rsidR="009E1D45" w:rsidRPr="000E0BBF" w:rsidRDefault="009E1D45" w:rsidP="009E1D45">
      <w:pPr>
        <w:tabs>
          <w:tab w:val="left" w:pos="3240"/>
        </w:tabs>
        <w:rPr>
          <w:rFonts w:ascii="Times New Roman" w:hAnsi="Times New Roman" w:cs="Times New Roman"/>
        </w:rPr>
      </w:pPr>
    </w:p>
    <w:p w14:paraId="2F19449F" w14:textId="77777777" w:rsidR="009E1D45" w:rsidRPr="000E0BBF" w:rsidRDefault="009E1D45" w:rsidP="009E1D45">
      <w:pPr>
        <w:tabs>
          <w:tab w:val="left" w:pos="3240"/>
        </w:tabs>
        <w:rPr>
          <w:rFonts w:ascii="Times New Roman" w:hAnsi="Times New Roman" w:cs="Times New Roman"/>
        </w:rPr>
      </w:pPr>
    </w:p>
    <w:p w14:paraId="776A633F" w14:textId="77777777" w:rsidR="009E1D45" w:rsidRPr="000E0BBF" w:rsidRDefault="009E1D45" w:rsidP="009E1D45">
      <w:pPr>
        <w:tabs>
          <w:tab w:val="left" w:pos="3240"/>
        </w:tabs>
        <w:rPr>
          <w:rFonts w:ascii="Times New Roman" w:hAnsi="Times New Roman" w:cs="Times New Roman"/>
        </w:rPr>
      </w:pPr>
    </w:p>
    <w:p w14:paraId="476E5FC6" w14:textId="77777777" w:rsidR="009E1D45" w:rsidRPr="000E0BBF" w:rsidRDefault="009E1D45" w:rsidP="009E1D45">
      <w:pPr>
        <w:tabs>
          <w:tab w:val="left" w:pos="3240"/>
        </w:tabs>
        <w:rPr>
          <w:rFonts w:ascii="Times New Roman" w:hAnsi="Times New Roman" w:cs="Times New Roman"/>
        </w:rPr>
      </w:pPr>
    </w:p>
    <w:p w14:paraId="705CFA61" w14:textId="77777777" w:rsidR="009E1D45" w:rsidRPr="000E0BBF" w:rsidRDefault="009E1D45" w:rsidP="009E1D45">
      <w:pPr>
        <w:tabs>
          <w:tab w:val="left" w:pos="3240"/>
        </w:tabs>
        <w:rPr>
          <w:rFonts w:ascii="Times New Roman" w:hAnsi="Times New Roman" w:cs="Times New Roman"/>
        </w:rPr>
      </w:pPr>
    </w:p>
    <w:p w14:paraId="6D4F3C2B" w14:textId="77777777" w:rsidR="009E1D45" w:rsidRDefault="009E1D45" w:rsidP="009E1D45">
      <w:pPr>
        <w:rPr>
          <w:rFonts w:ascii="Times New Roman" w:hAnsi="Times New Roman" w:cs="Times New Roman"/>
        </w:rPr>
      </w:pPr>
    </w:p>
    <w:p w14:paraId="2D58BB07" w14:textId="77777777" w:rsidR="009E1D45" w:rsidRDefault="009E1D45" w:rsidP="009E1D45">
      <w:pPr>
        <w:rPr>
          <w:rFonts w:ascii="Times New Roman" w:hAnsi="Times New Roman" w:cs="Times New Roman"/>
        </w:rPr>
      </w:pPr>
    </w:p>
    <w:p w14:paraId="73DC3D0F" w14:textId="77777777" w:rsidR="009E1D45" w:rsidRPr="00D0523E" w:rsidRDefault="009E1D45" w:rsidP="001B7E2B">
      <w:pPr>
        <w:spacing w:after="0" w:line="240" w:lineRule="auto"/>
        <w:ind w:left="360" w:hanging="360"/>
        <w:rPr>
          <w:rFonts w:ascii="Times New Roman" w:hAnsi="Times New Roman" w:cs="Times New Roman"/>
        </w:rPr>
      </w:pPr>
    </w:p>
    <w:sectPr w:rsidR="009E1D45" w:rsidRPr="00D0523E" w:rsidSect="009E1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A91F2E" w14:textId="77777777" w:rsidR="00E23032" w:rsidRDefault="00E23032" w:rsidP="00555E09">
      <w:pPr>
        <w:spacing w:after="0" w:line="240" w:lineRule="auto"/>
      </w:pPr>
      <w:r>
        <w:separator/>
      </w:r>
    </w:p>
  </w:endnote>
  <w:endnote w:type="continuationSeparator" w:id="0">
    <w:p w14:paraId="7966F3C1" w14:textId="77777777" w:rsidR="00E23032" w:rsidRDefault="00E23032" w:rsidP="00555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88845"/>
      <w:docPartObj>
        <w:docPartGallery w:val="Page Numbers (Bottom of Page)"/>
        <w:docPartUnique/>
      </w:docPartObj>
    </w:sdtPr>
    <w:sdtContent>
      <w:p w14:paraId="5B53433B" w14:textId="55D5A2ED" w:rsidR="001026B7" w:rsidRDefault="001026B7" w:rsidP="00E824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BE40B68" w14:textId="77777777" w:rsidR="001026B7" w:rsidRDefault="001026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rPr>
      <w:id w:val="-1413693113"/>
      <w:docPartObj>
        <w:docPartGallery w:val="Page Numbers (Bottom of Page)"/>
        <w:docPartUnique/>
      </w:docPartObj>
    </w:sdtPr>
    <w:sdtContent>
      <w:p w14:paraId="1869776A" w14:textId="1129A007" w:rsidR="001026B7" w:rsidRPr="001026B7" w:rsidRDefault="001026B7" w:rsidP="00E824A3">
        <w:pPr>
          <w:pStyle w:val="Footer"/>
          <w:framePr w:wrap="none" w:vAnchor="text" w:hAnchor="margin" w:xAlign="center" w:y="1"/>
          <w:rPr>
            <w:rStyle w:val="PageNumber"/>
            <w:rFonts w:ascii="Times New Roman" w:hAnsi="Times New Roman" w:cs="Times New Roman"/>
          </w:rPr>
        </w:pPr>
        <w:r w:rsidRPr="001026B7">
          <w:rPr>
            <w:rStyle w:val="PageNumber"/>
            <w:rFonts w:ascii="Times New Roman" w:hAnsi="Times New Roman" w:cs="Times New Roman"/>
          </w:rPr>
          <w:fldChar w:fldCharType="begin"/>
        </w:r>
        <w:r w:rsidRPr="001026B7">
          <w:rPr>
            <w:rStyle w:val="PageNumber"/>
            <w:rFonts w:ascii="Times New Roman" w:hAnsi="Times New Roman" w:cs="Times New Roman"/>
          </w:rPr>
          <w:instrText xml:space="preserve"> PAGE </w:instrText>
        </w:r>
        <w:r w:rsidRPr="001026B7">
          <w:rPr>
            <w:rStyle w:val="PageNumber"/>
            <w:rFonts w:ascii="Times New Roman" w:hAnsi="Times New Roman" w:cs="Times New Roman"/>
          </w:rPr>
          <w:fldChar w:fldCharType="separate"/>
        </w:r>
        <w:r w:rsidRPr="001026B7">
          <w:rPr>
            <w:rStyle w:val="PageNumber"/>
            <w:rFonts w:ascii="Times New Roman" w:hAnsi="Times New Roman" w:cs="Times New Roman"/>
            <w:noProof/>
          </w:rPr>
          <w:t>1</w:t>
        </w:r>
        <w:r w:rsidRPr="001026B7">
          <w:rPr>
            <w:rStyle w:val="PageNumber"/>
            <w:rFonts w:ascii="Times New Roman" w:hAnsi="Times New Roman" w:cs="Times New Roman"/>
          </w:rPr>
          <w:fldChar w:fldCharType="end"/>
        </w:r>
      </w:p>
    </w:sdtContent>
  </w:sdt>
  <w:p w14:paraId="51EB34C8" w14:textId="77777777" w:rsidR="001026B7" w:rsidRPr="001026B7" w:rsidRDefault="001026B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ED089E" w14:textId="77777777" w:rsidR="00E23032" w:rsidRDefault="00E23032" w:rsidP="00555E09">
      <w:pPr>
        <w:spacing w:after="0" w:line="240" w:lineRule="auto"/>
      </w:pPr>
      <w:r>
        <w:separator/>
      </w:r>
    </w:p>
  </w:footnote>
  <w:footnote w:type="continuationSeparator" w:id="0">
    <w:p w14:paraId="675FA938" w14:textId="77777777" w:rsidR="00E23032" w:rsidRDefault="00E23032" w:rsidP="00555E09">
      <w:pPr>
        <w:spacing w:after="0" w:line="240" w:lineRule="auto"/>
      </w:pPr>
      <w:r>
        <w:continuationSeparator/>
      </w:r>
    </w:p>
  </w:footnote>
  <w:footnote w:id="1">
    <w:p w14:paraId="0077D349" w14:textId="6C7D4DF4" w:rsidR="001A1945" w:rsidRDefault="001A1945">
      <w:pPr>
        <w:pStyle w:val="FootnoteText"/>
      </w:pPr>
      <w:r>
        <w:rPr>
          <w:rStyle w:val="FootnoteReference"/>
        </w:rPr>
        <w:footnoteRef/>
      </w:r>
      <w:r>
        <w:t xml:space="preserve"> </w:t>
      </w:r>
      <w:r w:rsidRPr="00912356">
        <w:rPr>
          <w:rFonts w:ascii="Times New Roman" w:hAnsi="Times New Roman" w:cs="Times New Roman"/>
        </w:rPr>
        <w:t>This research result used data structured and maintained by the MERI-Michigan Education Data Center (MEDC). MEDC data is modified for analysis purposes using rules governed by MEDC and are not identical to those data collected and maintained by the Michigan Department of Education (MDE), Michigan’s Center for Educational Performance and Information (CEPI), or Michigan's Department of Lifelong Education, Advancement, and Potential (MiLEAP). Results, information and opinions solely represent the analysis, information and opinions of the author(s) and are not endorsed by, or reflect the views or positions of, grantors, MDE, CEPI, MiLEAP or any employee thereof.</w:t>
      </w:r>
    </w:p>
  </w:footnote>
  <w:footnote w:id="2">
    <w:p w14:paraId="67477A0D" w14:textId="535C7128" w:rsidR="00CD6D65" w:rsidRPr="00CD6D65" w:rsidRDefault="00CD6D65">
      <w:pPr>
        <w:pStyle w:val="FootnoteText"/>
        <w:rPr>
          <w:rFonts w:ascii="Times New Roman" w:hAnsi="Times New Roman" w:cs="Times New Roman"/>
        </w:rPr>
      </w:pPr>
      <w:r w:rsidRPr="00CD6D65">
        <w:rPr>
          <w:rStyle w:val="FootnoteReference"/>
          <w:rFonts w:ascii="Times New Roman" w:hAnsi="Times New Roman" w:cs="Times New Roman"/>
        </w:rPr>
        <w:footnoteRef/>
      </w:r>
      <w:r w:rsidRPr="00CD6D65">
        <w:rPr>
          <w:rFonts w:ascii="Times New Roman" w:hAnsi="Times New Roman" w:cs="Times New Roman"/>
        </w:rPr>
        <w:t xml:space="preserve"> See also Gadenne (2017).</w:t>
      </w:r>
    </w:p>
  </w:footnote>
  <w:footnote w:id="3">
    <w:p w14:paraId="7CA1487C" w14:textId="10F2346D" w:rsidR="00C375A8" w:rsidRPr="00C375A8" w:rsidRDefault="00C375A8">
      <w:pPr>
        <w:pStyle w:val="FootnoteText"/>
        <w:rPr>
          <w:rFonts w:ascii="Times New Roman" w:hAnsi="Times New Roman" w:cs="Times New Roman"/>
        </w:rPr>
      </w:pPr>
      <w:r w:rsidRPr="00C375A8">
        <w:rPr>
          <w:rStyle w:val="FootnoteReference"/>
          <w:rFonts w:ascii="Times New Roman" w:hAnsi="Times New Roman" w:cs="Times New Roman"/>
        </w:rPr>
        <w:footnoteRef/>
      </w:r>
      <w:r w:rsidRPr="00C375A8">
        <w:rPr>
          <w:rFonts w:ascii="Times New Roman" w:hAnsi="Times New Roman" w:cs="Times New Roman"/>
        </w:rPr>
        <w:t xml:space="preserve"> See also Tsang &amp; Levin (1983), Evans et al. (1997), Goertz &amp; Natriello (1999)</w:t>
      </w:r>
      <w:r>
        <w:rPr>
          <w:rFonts w:ascii="Times New Roman" w:hAnsi="Times New Roman" w:cs="Times New Roman"/>
        </w:rPr>
        <w:t xml:space="preserve">, Gordon (2004), </w:t>
      </w:r>
      <w:r w:rsidR="003D56F3">
        <w:rPr>
          <w:rFonts w:ascii="Times New Roman" w:hAnsi="Times New Roman" w:cs="Times New Roman"/>
        </w:rPr>
        <w:t xml:space="preserve">and </w:t>
      </w:r>
      <w:r>
        <w:rPr>
          <w:rFonts w:ascii="Times New Roman" w:hAnsi="Times New Roman" w:cs="Times New Roman"/>
        </w:rPr>
        <w:t>Hoxby (2001)</w:t>
      </w:r>
      <w:r w:rsidRPr="00C375A8">
        <w:rPr>
          <w:rFonts w:ascii="Times New Roman" w:hAnsi="Times New Roman" w:cs="Times New Roman"/>
        </w:rPr>
        <w:t>.</w:t>
      </w:r>
    </w:p>
  </w:footnote>
  <w:footnote w:id="4">
    <w:p w14:paraId="6058F3FB" w14:textId="60772725" w:rsidR="00C874A3" w:rsidRPr="00C874A3" w:rsidRDefault="00C874A3">
      <w:pPr>
        <w:pStyle w:val="FootnoteText"/>
        <w:rPr>
          <w:rFonts w:ascii="Times New Roman" w:hAnsi="Times New Roman" w:cs="Times New Roman"/>
        </w:rPr>
      </w:pPr>
      <w:r w:rsidRPr="00C874A3">
        <w:rPr>
          <w:rStyle w:val="FootnoteReference"/>
          <w:rFonts w:ascii="Times New Roman" w:hAnsi="Times New Roman" w:cs="Times New Roman"/>
        </w:rPr>
        <w:footnoteRef/>
      </w:r>
      <w:r w:rsidRPr="00C874A3">
        <w:rPr>
          <w:rFonts w:ascii="Times New Roman" w:hAnsi="Times New Roman" w:cs="Times New Roman"/>
        </w:rPr>
        <w:t xml:space="preserve"> Craig &amp; Inman (1982) explore this type of grant at the state-level, and they find that conditional grants tend to increase spending in areas separate from the categories they are intended to support.</w:t>
      </w:r>
    </w:p>
  </w:footnote>
  <w:footnote w:id="5">
    <w:p w14:paraId="3894A646" w14:textId="77777777" w:rsidR="009A082F" w:rsidRPr="00285065" w:rsidRDefault="009A082F" w:rsidP="009A082F">
      <w:pPr>
        <w:pStyle w:val="FootnoteText"/>
        <w:rPr>
          <w:rFonts w:ascii="Times New Roman" w:hAnsi="Times New Roman" w:cs="Times New Roman"/>
        </w:rPr>
      </w:pPr>
      <w:r w:rsidRPr="00285065">
        <w:rPr>
          <w:rStyle w:val="FootnoteReference"/>
          <w:rFonts w:ascii="Times New Roman" w:hAnsi="Times New Roman" w:cs="Times New Roman"/>
        </w:rPr>
        <w:footnoteRef/>
      </w:r>
      <w:r w:rsidRPr="00285065">
        <w:rPr>
          <w:rFonts w:ascii="Times New Roman" w:hAnsi="Times New Roman" w:cs="Times New Roman"/>
        </w:rPr>
        <w:t xml:space="preserve"> Property tax rates in Table 1 are provided in millage rates. A 1 mill property tax is equivalent to $1 for every $1,000 of property value.</w:t>
      </w:r>
    </w:p>
  </w:footnote>
  <w:footnote w:id="6">
    <w:p w14:paraId="3FA84891" w14:textId="04DB2BF4" w:rsidR="009F0089" w:rsidRPr="009F0089" w:rsidRDefault="009F0089">
      <w:pPr>
        <w:pStyle w:val="FootnoteText"/>
        <w:rPr>
          <w:rFonts w:ascii="Times New Roman" w:hAnsi="Times New Roman" w:cs="Times New Roman"/>
        </w:rPr>
      </w:pPr>
      <w:r w:rsidRPr="009F0089">
        <w:rPr>
          <w:rStyle w:val="FootnoteReference"/>
          <w:rFonts w:ascii="Times New Roman" w:hAnsi="Times New Roman" w:cs="Times New Roman"/>
        </w:rPr>
        <w:footnoteRef/>
      </w:r>
      <w:r w:rsidRPr="009F0089">
        <w:rPr>
          <w:rFonts w:ascii="Times New Roman" w:hAnsi="Times New Roman" w:cs="Times New Roman"/>
        </w:rPr>
        <w:t xml:space="preserve"> All dollar values are adjusted to 2025 dollars using the GDP S&amp;L price deflator (Burns &amp; Guzman, 2025; Arsen et al., 2019).</w:t>
      </w:r>
    </w:p>
  </w:footnote>
  <w:footnote w:id="7">
    <w:p w14:paraId="0DC13D25" w14:textId="27202330" w:rsidR="00B56026" w:rsidRPr="00B56026" w:rsidRDefault="00B56026">
      <w:pPr>
        <w:pStyle w:val="FootnoteText"/>
        <w:rPr>
          <w:rFonts w:ascii="Times New Roman" w:hAnsi="Times New Roman" w:cs="Times New Roman"/>
        </w:rPr>
      </w:pPr>
      <w:r w:rsidRPr="00B56026">
        <w:rPr>
          <w:rStyle w:val="FootnoteReference"/>
          <w:rFonts w:ascii="Times New Roman" w:hAnsi="Times New Roman" w:cs="Times New Roman"/>
        </w:rPr>
        <w:footnoteRef/>
      </w:r>
      <w:r w:rsidRPr="00B56026">
        <w:rPr>
          <w:rFonts w:ascii="Times New Roman" w:hAnsi="Times New Roman" w:cs="Times New Roman"/>
        </w:rPr>
        <w:t xml:space="preserve"> ISDs distribute these resources to districts primarily on the basis of total special education costs, the share of SWDs in the district, and the share of total students in the ISD (Nagel, 2021).</w:t>
      </w:r>
    </w:p>
  </w:footnote>
  <w:footnote w:id="8">
    <w:p w14:paraId="20EB9B9E" w14:textId="77777777" w:rsidR="00B56026" w:rsidRPr="005A39DC" w:rsidRDefault="00B56026" w:rsidP="00B56026">
      <w:pPr>
        <w:pStyle w:val="FootnoteText"/>
        <w:rPr>
          <w:rFonts w:ascii="Times New Roman" w:hAnsi="Times New Roman" w:cs="Times New Roman"/>
        </w:rPr>
      </w:pPr>
      <w:r w:rsidRPr="005A39DC">
        <w:rPr>
          <w:rStyle w:val="FootnoteReference"/>
          <w:rFonts w:ascii="Times New Roman" w:hAnsi="Times New Roman" w:cs="Times New Roman"/>
        </w:rPr>
        <w:footnoteRef/>
      </w:r>
      <w:r w:rsidRPr="005A39DC">
        <w:rPr>
          <w:rFonts w:ascii="Times New Roman" w:hAnsi="Times New Roman" w:cs="Times New Roman"/>
        </w:rPr>
        <w:t xml:space="preserve"> Arsen et al. (2019) observe that this structure is inherently unequal as ISDs vary widely in both their property tax bases and the number of SWDs they serve. Further, this contributes to variation in the amounts of funding ISDs must draw from general funds or elsewhere to provide appropriate services to SWDs.</w:t>
      </w:r>
    </w:p>
  </w:footnote>
  <w:footnote w:id="9">
    <w:p w14:paraId="196887DE" w14:textId="4A4CADD6" w:rsidR="00264704" w:rsidRPr="005A39DC" w:rsidRDefault="00264704">
      <w:pPr>
        <w:pStyle w:val="FootnoteText"/>
        <w:rPr>
          <w:rFonts w:ascii="Times New Roman" w:hAnsi="Times New Roman" w:cs="Times New Roman"/>
        </w:rPr>
      </w:pPr>
      <w:r w:rsidRPr="005A39DC">
        <w:rPr>
          <w:rStyle w:val="FootnoteReference"/>
          <w:rFonts w:ascii="Times New Roman" w:hAnsi="Times New Roman" w:cs="Times New Roman"/>
        </w:rPr>
        <w:footnoteRef/>
      </w:r>
      <w:r w:rsidRPr="005A39DC">
        <w:rPr>
          <w:rFonts w:ascii="Times New Roman" w:hAnsi="Times New Roman" w:cs="Times New Roman"/>
        </w:rPr>
        <w:t xml:space="preserve"> Arsen et al. (2019) note that this maximum is relatively arbitrary as it is defined by the property tax level in each ISD in 1994. </w:t>
      </w:r>
    </w:p>
  </w:footnote>
  <w:footnote w:id="10">
    <w:p w14:paraId="34500299" w14:textId="0AD85797" w:rsidR="00264704" w:rsidRDefault="00264704">
      <w:pPr>
        <w:pStyle w:val="FootnoteText"/>
      </w:pPr>
      <w:r w:rsidRPr="005A39DC">
        <w:rPr>
          <w:rStyle w:val="FootnoteReference"/>
          <w:rFonts w:ascii="Times New Roman" w:hAnsi="Times New Roman" w:cs="Times New Roman"/>
        </w:rPr>
        <w:footnoteRef/>
      </w:r>
      <w:r w:rsidRPr="005A39DC">
        <w:rPr>
          <w:rFonts w:ascii="Times New Roman" w:hAnsi="Times New Roman" w:cs="Times New Roman"/>
        </w:rPr>
        <w:t xml:space="preserve"> These property taxes may be either “millage renewals” or a “millage restorations.” As a result of the Headlee Amendment adopted in 1978, property tax rates decline each year to ensure that they do not collect more revenue than was approved at the time of the tax election, accounting for inflation. As a result, special education millages may decline over time and need to be “restored” if they decline significantly before the millage expires. I do not consider differences in these types of </w:t>
      </w:r>
      <w:r w:rsidR="00B56026">
        <w:rPr>
          <w:rFonts w:ascii="Times New Roman" w:hAnsi="Times New Roman" w:cs="Times New Roman"/>
        </w:rPr>
        <w:t>property tax increases here.</w:t>
      </w:r>
    </w:p>
  </w:footnote>
  <w:footnote w:id="11">
    <w:p w14:paraId="351BC5AB" w14:textId="22785C94" w:rsidR="00227751" w:rsidRPr="00227751" w:rsidRDefault="00227751">
      <w:pPr>
        <w:pStyle w:val="FootnoteText"/>
        <w:rPr>
          <w:rFonts w:ascii="Times New Roman" w:hAnsi="Times New Roman" w:cs="Times New Roman"/>
        </w:rPr>
      </w:pPr>
      <w:r w:rsidRPr="00227751">
        <w:rPr>
          <w:rStyle w:val="FootnoteReference"/>
          <w:rFonts w:ascii="Times New Roman" w:hAnsi="Times New Roman" w:cs="Times New Roman"/>
        </w:rPr>
        <w:footnoteRef/>
      </w:r>
      <w:r w:rsidRPr="00227751">
        <w:rPr>
          <w:rFonts w:ascii="Times New Roman" w:hAnsi="Times New Roman" w:cs="Times New Roman"/>
        </w:rPr>
        <w:t xml:space="preserve"> Note that while I have data in the 2002-03 academic year, I need ISDs to not have adopted a new property tax in 2002-03 so that they are not “always treated” units.</w:t>
      </w:r>
    </w:p>
  </w:footnote>
  <w:footnote w:id="12">
    <w:p w14:paraId="394782E4" w14:textId="62E9524B" w:rsidR="00B668B4" w:rsidRPr="00B668B4" w:rsidRDefault="00B668B4">
      <w:pPr>
        <w:pStyle w:val="FootnoteText"/>
        <w:rPr>
          <w:rFonts w:ascii="Times New Roman" w:hAnsi="Times New Roman" w:cs="Times New Roman"/>
        </w:rPr>
      </w:pPr>
      <w:r w:rsidRPr="00B668B4">
        <w:rPr>
          <w:rStyle w:val="FootnoteReference"/>
          <w:rFonts w:ascii="Times New Roman" w:hAnsi="Times New Roman" w:cs="Times New Roman"/>
        </w:rPr>
        <w:footnoteRef/>
      </w:r>
      <w:r w:rsidRPr="00B668B4">
        <w:rPr>
          <w:rFonts w:ascii="Times New Roman" w:hAnsi="Times New Roman" w:cs="Times New Roman"/>
        </w:rPr>
        <w:t xml:space="preserve"> This example draws on Bradford &amp; Shaviro (2000) and Shah (2006).</w:t>
      </w:r>
    </w:p>
  </w:footnote>
  <w:footnote w:id="13">
    <w:p w14:paraId="79F1B4A1" w14:textId="11188065" w:rsidR="008B65FE" w:rsidRPr="008B65FE" w:rsidRDefault="008B65FE">
      <w:pPr>
        <w:pStyle w:val="FootnoteText"/>
        <w:rPr>
          <w:rFonts w:ascii="Times New Roman" w:hAnsi="Times New Roman" w:cs="Times New Roman"/>
        </w:rPr>
      </w:pPr>
      <w:r w:rsidRPr="008B65FE">
        <w:rPr>
          <w:rStyle w:val="FootnoteReference"/>
          <w:rFonts w:ascii="Times New Roman" w:hAnsi="Times New Roman" w:cs="Times New Roman"/>
        </w:rPr>
        <w:footnoteRef/>
      </w:r>
      <w:r w:rsidRPr="008B65FE">
        <w:rPr>
          <w:rFonts w:ascii="Times New Roman" w:hAnsi="Times New Roman" w:cs="Times New Roman"/>
        </w:rPr>
        <w:t xml:space="preserve"> In Michigan, a student FTE is defined as a fractional value between 0 and 1 indicating the proportion of 1,098 minimum total instructional hours a student is scheduled to receive. This value is also separated for the amount of time spent in general education and special education services. For example, if a student were scheduled to receive special education programming for 1 hour per week and general education instruction for the rest of the week, this would equate to a 0.03 FTE in special education and 0.97 FTE in general education. This approach avoids double counting students if they appear in both a general education and special education program in the same school district.</w:t>
      </w:r>
    </w:p>
  </w:footnote>
  <w:footnote w:id="14">
    <w:p w14:paraId="3498FE6F" w14:textId="5087647D" w:rsidR="00A3605F" w:rsidRPr="00A3605F" w:rsidRDefault="00A3605F">
      <w:pPr>
        <w:pStyle w:val="FootnoteText"/>
        <w:rPr>
          <w:rFonts w:ascii="Times New Roman" w:hAnsi="Times New Roman" w:cs="Times New Roman"/>
        </w:rPr>
      </w:pPr>
      <w:r w:rsidRPr="00A3605F">
        <w:rPr>
          <w:rStyle w:val="FootnoteReference"/>
          <w:rFonts w:ascii="Times New Roman" w:hAnsi="Times New Roman" w:cs="Times New Roman"/>
        </w:rPr>
        <w:footnoteRef/>
      </w:r>
      <w:r w:rsidRPr="00A3605F">
        <w:rPr>
          <w:rFonts w:ascii="Times New Roman" w:hAnsi="Times New Roman" w:cs="Times New Roman"/>
        </w:rPr>
        <w:t xml:space="preserve"> This is similar to Equation 5.6 in Wooldridge (2025), although I restrict treatment heterogeneity by not including interaction terms with time dummies or with covariates.</w:t>
      </w:r>
    </w:p>
  </w:footnote>
  <w:footnote w:id="15">
    <w:p w14:paraId="43628AD2" w14:textId="03DBE984" w:rsidR="008B65FE" w:rsidRDefault="008B65FE">
      <w:pPr>
        <w:pStyle w:val="FootnoteText"/>
      </w:pPr>
      <w:r>
        <w:rPr>
          <w:rStyle w:val="FootnoteReference"/>
        </w:rPr>
        <w:footnoteRef/>
      </w:r>
      <w:r>
        <w:t xml:space="preserve"> </w:t>
      </w:r>
      <w:r>
        <w:rPr>
          <w:rFonts w:ascii="Times New Roman" w:hAnsi="Times New Roman" w:cs="Times New Roman"/>
        </w:rPr>
        <w:t xml:space="preserve">Formally, I weight the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g</m:t>
            </m:r>
          </m:sub>
        </m:sSub>
      </m:oMath>
      <w:r>
        <w:rPr>
          <w:rFonts w:ascii="Times New Roman" w:eastAsiaTheme="minorEastAsia" w:hAnsi="Times New Roman" w:cs="Times New Roman"/>
        </w:rPr>
        <w:t xml:space="preserve"> in Equation (1) using the following </w:t>
      </w:r>
      <w:r w:rsidRPr="00194098">
        <w:rPr>
          <w:rFonts w:ascii="Times New Roman" w:eastAsiaTheme="minorEastAsia" w:hAnsi="Times New Roman" w:cs="Times New Roman"/>
        </w:rPr>
        <w:t>equation</w:t>
      </w:r>
      <w:r>
        <w:rPr>
          <w:rFonts w:ascii="Times New Roman" w:eastAsiaTheme="minorEastAsia" w:hAnsi="Times New Roman" w:cs="Times New Roman"/>
        </w:rPr>
        <w:t xml:space="preserve"> to compute the average causal response (ACR), and I compute unconditional standard errors for all aggregated estimates: </w:t>
      </w:r>
      <m:oMath>
        <m:r>
          <w:rPr>
            <w:rFonts w:ascii="Cambria Math" w:hAnsi="Cambria Math" w:cs="Times New Roman"/>
          </w:rPr>
          <m:t xml:space="preserve">ACR= </m:t>
        </m:r>
        <m:nary>
          <m:naryPr>
            <m:chr m:val="∑"/>
            <m:ctrlPr>
              <w:rPr>
                <w:rFonts w:ascii="Cambria Math" w:hAnsi="Cambria Math" w:cs="Times New Roman"/>
                <w:i/>
              </w:rPr>
            </m:ctrlPr>
          </m:naryPr>
          <m:sub>
            <m:r>
              <w:rPr>
                <w:rFonts w:ascii="Cambria Math" w:hAnsi="Cambria Math" w:cs="Times New Roman"/>
              </w:rPr>
              <m:t>g=1</m:t>
            </m:r>
          </m:sub>
          <m:sup>
            <m:r>
              <w:rPr>
                <w:rFonts w:ascii="Cambria Math" w:hAnsi="Cambria Math" w:cs="Times New Roman"/>
              </w:rPr>
              <m:t>G</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g</m:t>
                    </m:r>
                  </m:sub>
                </m:sSub>
              </m:num>
              <m:den>
                <m:r>
                  <w:rPr>
                    <w:rFonts w:ascii="Cambria Math" w:hAnsi="Cambria Math" w:cs="Times New Roman"/>
                  </w:rPr>
                  <m:t>N</m:t>
                </m:r>
              </m:den>
            </m:f>
          </m:e>
        </m:nary>
      </m:oMath>
      <w:r w:rsidR="00A96472">
        <w:rPr>
          <w:rFonts w:ascii="Times New Roman" w:eastAsiaTheme="minorEastAsia" w:hAnsi="Times New Roman" w:cs="Times New Roman"/>
        </w:rPr>
        <w:t xml:space="preserve"> (2)</w:t>
      </w:r>
      <w:r>
        <w:rPr>
          <w:rFonts w:ascii="Times New Roman" w:eastAsiaTheme="minorEastAsia" w:hAnsi="Times New Roman" w:cs="Times New Roman"/>
        </w:rPr>
        <w:t xml:space="preserve">. </w:t>
      </w:r>
      <w:r w:rsidRPr="00A3605F">
        <w:rPr>
          <w:rFonts w:ascii="Times New Roman" w:hAnsi="Times New Roman" w:cs="Times New Roman"/>
        </w:rPr>
        <w:t xml:space="preserve">This is similar to Equation 7.3 in Wooldridge (2025), although I </w:t>
      </w:r>
      <w:r>
        <w:rPr>
          <w:rFonts w:ascii="Times New Roman" w:hAnsi="Times New Roman" w:cs="Times New Roman"/>
        </w:rPr>
        <w:t xml:space="preserve">restrict treatment heterogeneity and I </w:t>
      </w:r>
      <w:r w:rsidRPr="00A3605F">
        <w:rPr>
          <w:rFonts w:ascii="Times New Roman" w:hAnsi="Times New Roman" w:cs="Times New Roman"/>
        </w:rPr>
        <w:t xml:space="preserve">do not include interactions </w:t>
      </w:r>
      <w:r>
        <w:rPr>
          <w:rFonts w:ascii="Times New Roman" w:hAnsi="Times New Roman" w:cs="Times New Roman"/>
        </w:rPr>
        <w:t>between the cohort indicators and</w:t>
      </w:r>
      <w:r w:rsidRPr="00A3605F">
        <w:rPr>
          <w:rFonts w:ascii="Times New Roman" w:hAnsi="Times New Roman" w:cs="Times New Roman"/>
        </w:rPr>
        <w:t xml:space="preserve"> all time dummies.</w:t>
      </w:r>
    </w:p>
  </w:footnote>
  <w:footnote w:id="16">
    <w:p w14:paraId="7D10E9EC" w14:textId="51A21987" w:rsidR="008B65FE" w:rsidRPr="008B65FE" w:rsidRDefault="008B65FE">
      <w:pPr>
        <w:pStyle w:val="FootnoteText"/>
        <w:rPr>
          <w:rFonts w:ascii="Times New Roman" w:hAnsi="Times New Roman" w:cs="Times New Roman"/>
        </w:rPr>
      </w:pPr>
      <w:r w:rsidRPr="008B65FE">
        <w:rPr>
          <w:rStyle w:val="FootnoteReference"/>
          <w:rFonts w:ascii="Times New Roman" w:hAnsi="Times New Roman" w:cs="Times New Roman"/>
        </w:rPr>
        <w:footnoteRef/>
      </w:r>
      <w:r w:rsidRPr="008B65FE">
        <w:rPr>
          <w:rFonts w:ascii="Times New Roman" w:hAnsi="Times New Roman" w:cs="Times New Roman"/>
        </w:rPr>
        <w:t xml:space="preserve"> This effect should be interpreted as the marginal effect of an increase in the property tax rate on the outcome, and I interpret this as an increase of 1 mill in the property tax rate. However, the average special education property tax increase during my sample period is 0.61 mills, so the revenue impact </w:t>
      </w:r>
      <w:r w:rsidR="00F6719F">
        <w:rPr>
          <w:rFonts w:ascii="Times New Roman" w:hAnsi="Times New Roman" w:cs="Times New Roman"/>
        </w:rPr>
        <w:t>is</w:t>
      </w:r>
      <w:r w:rsidRPr="008B65FE">
        <w:rPr>
          <w:rFonts w:ascii="Times New Roman" w:hAnsi="Times New Roman" w:cs="Times New Roman"/>
        </w:rPr>
        <w:t xml:space="preserve"> smaller for the average ISD.</w:t>
      </w:r>
    </w:p>
  </w:footnote>
  <w:footnote w:id="17">
    <w:p w14:paraId="28C3FA67" w14:textId="6C7A70C4" w:rsidR="00FB6094" w:rsidRPr="00FB6094" w:rsidRDefault="00FB6094">
      <w:pPr>
        <w:pStyle w:val="FootnoteText"/>
        <w:rPr>
          <w:rFonts w:ascii="Times New Roman" w:hAnsi="Times New Roman" w:cs="Times New Roman"/>
        </w:rPr>
      </w:pPr>
      <w:r w:rsidRPr="00FB6094">
        <w:rPr>
          <w:rStyle w:val="FootnoteReference"/>
          <w:rFonts w:ascii="Times New Roman" w:hAnsi="Times New Roman" w:cs="Times New Roman"/>
        </w:rPr>
        <w:footnoteRef/>
      </w:r>
      <w:r w:rsidRPr="00FB6094">
        <w:rPr>
          <w:rFonts w:ascii="Times New Roman" w:hAnsi="Times New Roman" w:cs="Times New Roman"/>
        </w:rPr>
        <w:t xml:space="preserve"> This is </w:t>
      </w:r>
      <w:r>
        <w:rPr>
          <w:rFonts w:ascii="Times New Roman" w:hAnsi="Times New Roman" w:cs="Times New Roman"/>
        </w:rPr>
        <w:t xml:space="preserve">equal to </w:t>
      </w:r>
      <w:r w:rsidRPr="00FB6094">
        <w:rPr>
          <w:rFonts w:ascii="Times New Roman" w:hAnsi="Times New Roman" w:cs="Times New Roman"/>
        </w:rPr>
        <w:t>the average causal response of $376.56 multiplied by the average treatment intensity of 0.61 mills.</w:t>
      </w:r>
    </w:p>
  </w:footnote>
  <w:footnote w:id="18">
    <w:p w14:paraId="62FE8233" w14:textId="75FE7577" w:rsidR="00AA6915" w:rsidRPr="00AA6915" w:rsidRDefault="00AA6915">
      <w:pPr>
        <w:pStyle w:val="FootnoteText"/>
        <w:rPr>
          <w:rFonts w:ascii="Times New Roman" w:hAnsi="Times New Roman" w:cs="Times New Roman"/>
        </w:rPr>
      </w:pPr>
      <w:r w:rsidRPr="00AA6915">
        <w:rPr>
          <w:rStyle w:val="FootnoteReference"/>
          <w:rFonts w:ascii="Times New Roman" w:hAnsi="Times New Roman" w:cs="Times New Roman"/>
        </w:rPr>
        <w:footnoteRef/>
      </w:r>
      <w:r w:rsidRPr="00AA6915">
        <w:rPr>
          <w:rFonts w:ascii="Times New Roman" w:hAnsi="Times New Roman" w:cs="Times New Roman"/>
        </w:rPr>
        <w:t xml:space="preserve"> This provides some justification for not including cohort indicators in my event study model. </w:t>
      </w:r>
      <w:r>
        <w:rPr>
          <w:rFonts w:ascii="Times New Roman" w:hAnsi="Times New Roman" w:cs="Times New Roman"/>
        </w:rPr>
        <w:t>Variation in estimated effects across cohorts appears to have a minimal effect on the average causal response.</w:t>
      </w:r>
    </w:p>
  </w:footnote>
  <w:footnote w:id="19">
    <w:p w14:paraId="4E8C0B87" w14:textId="4CEFEBFE" w:rsidR="007D28B4" w:rsidRPr="007D28B4" w:rsidRDefault="007D28B4">
      <w:pPr>
        <w:pStyle w:val="FootnoteText"/>
        <w:rPr>
          <w:rFonts w:ascii="Times New Roman" w:hAnsi="Times New Roman" w:cs="Times New Roman"/>
        </w:rPr>
      </w:pPr>
      <w:r w:rsidRPr="007D28B4">
        <w:rPr>
          <w:rStyle w:val="FootnoteReference"/>
          <w:rFonts w:ascii="Times New Roman" w:hAnsi="Times New Roman" w:cs="Times New Roman"/>
        </w:rPr>
        <w:footnoteRef/>
      </w:r>
      <w:r w:rsidRPr="007D28B4">
        <w:rPr>
          <w:rFonts w:ascii="Times New Roman" w:hAnsi="Times New Roman" w:cs="Times New Roman"/>
        </w:rPr>
        <w:t xml:space="preserve"> Note that this estimator drops time periods in which there is no unit that switches treatment. As a result, the observation count is smaller in this specification relative to the full sample.</w:t>
      </w:r>
    </w:p>
  </w:footnote>
  <w:footnote w:id="20">
    <w:p w14:paraId="617551C2" w14:textId="1B97064A" w:rsidR="008E3B6E" w:rsidRPr="008E3B6E" w:rsidRDefault="008E3B6E">
      <w:pPr>
        <w:pStyle w:val="FootnoteText"/>
        <w:rPr>
          <w:rFonts w:ascii="Times New Roman" w:hAnsi="Times New Roman" w:cs="Times New Roman"/>
        </w:rPr>
      </w:pPr>
      <w:r w:rsidRPr="008E3B6E">
        <w:rPr>
          <w:rStyle w:val="FootnoteReference"/>
          <w:rFonts w:ascii="Times New Roman" w:hAnsi="Times New Roman" w:cs="Times New Roman"/>
        </w:rPr>
        <w:footnoteRef/>
      </w:r>
      <w:r w:rsidRPr="008E3B6E">
        <w:rPr>
          <w:rFonts w:ascii="Times New Roman" w:hAnsi="Times New Roman" w:cs="Times New Roman"/>
        </w:rPr>
        <w:t xml:space="preserve"> </w:t>
      </w:r>
      <w:r>
        <w:rPr>
          <w:rFonts w:ascii="Times New Roman" w:hAnsi="Times New Roman" w:cs="Times New Roman"/>
        </w:rPr>
        <w:t>An e</w:t>
      </w:r>
      <w:r w:rsidRPr="008E3B6E">
        <w:rPr>
          <w:rFonts w:ascii="Times New Roman" w:hAnsi="Times New Roman" w:cs="Times New Roman"/>
        </w:rPr>
        <w:t>vent stud</w:t>
      </w:r>
      <w:r w:rsidR="00BE0E40">
        <w:rPr>
          <w:rFonts w:ascii="Times New Roman" w:hAnsi="Times New Roman" w:cs="Times New Roman"/>
        </w:rPr>
        <w:t>y</w:t>
      </w:r>
      <w:r w:rsidRPr="008E3B6E">
        <w:rPr>
          <w:rFonts w:ascii="Times New Roman" w:hAnsi="Times New Roman" w:cs="Times New Roman"/>
        </w:rPr>
        <w:t xml:space="preserve"> of </w:t>
      </w:r>
      <w:r>
        <w:rPr>
          <w:rFonts w:ascii="Times New Roman" w:hAnsi="Times New Roman" w:cs="Times New Roman"/>
        </w:rPr>
        <w:t>transfers is</w:t>
      </w:r>
      <w:r w:rsidRPr="008E3B6E">
        <w:rPr>
          <w:rFonts w:ascii="Times New Roman" w:hAnsi="Times New Roman" w:cs="Times New Roman"/>
        </w:rPr>
        <w:t xml:space="preserve"> provided in Appendix Figure A2, and th</w:t>
      </w:r>
      <w:r>
        <w:rPr>
          <w:rFonts w:ascii="Times New Roman" w:hAnsi="Times New Roman" w:cs="Times New Roman"/>
        </w:rPr>
        <w:t>is illustrates s</w:t>
      </w:r>
      <w:r w:rsidRPr="008E3B6E">
        <w:rPr>
          <w:rFonts w:ascii="Times New Roman" w:hAnsi="Times New Roman" w:cs="Times New Roman"/>
        </w:rPr>
        <w:t xml:space="preserve">mooth pre-trends </w:t>
      </w:r>
      <w:r>
        <w:rPr>
          <w:rFonts w:ascii="Times New Roman" w:hAnsi="Times New Roman" w:cs="Times New Roman"/>
        </w:rPr>
        <w:t xml:space="preserve">for this outcome </w:t>
      </w:r>
      <w:r w:rsidRPr="008E3B6E">
        <w:rPr>
          <w:rFonts w:ascii="Times New Roman" w:hAnsi="Times New Roman" w:cs="Times New Roman"/>
        </w:rPr>
        <w:t>as well.</w:t>
      </w:r>
    </w:p>
  </w:footnote>
  <w:footnote w:id="21">
    <w:p w14:paraId="3523C5F1" w14:textId="7D965D2B" w:rsidR="00855A36" w:rsidRPr="00855A36" w:rsidRDefault="00855A36">
      <w:pPr>
        <w:pStyle w:val="FootnoteText"/>
        <w:rPr>
          <w:rFonts w:ascii="Times New Roman" w:hAnsi="Times New Roman" w:cs="Times New Roman"/>
        </w:rPr>
      </w:pPr>
      <w:r w:rsidRPr="00855A36">
        <w:rPr>
          <w:rStyle w:val="FootnoteReference"/>
          <w:rFonts w:ascii="Times New Roman" w:hAnsi="Times New Roman" w:cs="Times New Roman"/>
        </w:rPr>
        <w:footnoteRef/>
      </w:r>
      <w:r w:rsidRPr="00855A36">
        <w:rPr>
          <w:rFonts w:ascii="Times New Roman" w:hAnsi="Times New Roman" w:cs="Times New Roman"/>
        </w:rPr>
        <w:t xml:space="preserve"> In addition, I drop </w:t>
      </w:r>
      <w:r w:rsidR="00B57C55">
        <w:rPr>
          <w:rFonts w:ascii="Times New Roman" w:hAnsi="Times New Roman" w:cs="Times New Roman"/>
        </w:rPr>
        <w:t>67</w:t>
      </w:r>
      <w:r w:rsidRPr="00855A36">
        <w:rPr>
          <w:rFonts w:ascii="Times New Roman" w:hAnsi="Times New Roman" w:cs="Times New Roman"/>
        </w:rPr>
        <w:t xml:space="preserve"> school district-year observations that have no reported expenditures for non-special education purposes. These observations relate to school districts are specialized and may only support students with disabilities in given year.</w:t>
      </w:r>
    </w:p>
  </w:footnote>
  <w:footnote w:id="22">
    <w:p w14:paraId="2ABF3DC0" w14:textId="31245603" w:rsidR="00BC464F" w:rsidRPr="00BC464F" w:rsidRDefault="00BC464F">
      <w:pPr>
        <w:pStyle w:val="FootnoteText"/>
        <w:rPr>
          <w:rFonts w:ascii="Times New Roman" w:hAnsi="Times New Roman" w:cs="Times New Roman"/>
        </w:rPr>
      </w:pPr>
      <w:r w:rsidRPr="00BC464F">
        <w:rPr>
          <w:rStyle w:val="FootnoteReference"/>
          <w:rFonts w:ascii="Times New Roman" w:hAnsi="Times New Roman" w:cs="Times New Roman"/>
        </w:rPr>
        <w:footnoteRef/>
      </w:r>
      <w:r w:rsidRPr="00BC464F">
        <w:rPr>
          <w:rFonts w:ascii="Times New Roman" w:hAnsi="Times New Roman" w:cs="Times New Roman"/>
        </w:rPr>
        <w:t xml:space="preserve"> In Appendix Table </w:t>
      </w:r>
      <w:r w:rsidR="000674E9">
        <w:rPr>
          <w:rFonts w:ascii="Times New Roman" w:hAnsi="Times New Roman" w:cs="Times New Roman"/>
        </w:rPr>
        <w:t>A</w:t>
      </w:r>
      <w:r w:rsidR="00500FF6">
        <w:rPr>
          <w:rFonts w:ascii="Times New Roman" w:hAnsi="Times New Roman" w:cs="Times New Roman"/>
        </w:rPr>
        <w:t>6</w:t>
      </w:r>
      <w:r w:rsidRPr="00BC464F">
        <w:rPr>
          <w:rFonts w:ascii="Times New Roman" w:hAnsi="Times New Roman" w:cs="Times New Roman"/>
        </w:rPr>
        <w:t>, I also estimate the effect of school district-level per pupil revenues received from the ISD following the property tax change. These estimates are closely aligned with those of the transfers in Table 4.</w:t>
      </w:r>
    </w:p>
  </w:footnote>
  <w:footnote w:id="23">
    <w:p w14:paraId="4C0F5765" w14:textId="7A0AECDF" w:rsidR="00B67C95" w:rsidRPr="00B67C95" w:rsidRDefault="00B67C95">
      <w:pPr>
        <w:pStyle w:val="FootnoteText"/>
        <w:rPr>
          <w:rFonts w:ascii="Times New Roman" w:hAnsi="Times New Roman" w:cs="Times New Roman"/>
        </w:rPr>
      </w:pPr>
      <w:r w:rsidRPr="00B67C95">
        <w:rPr>
          <w:rStyle w:val="FootnoteReference"/>
          <w:rFonts w:ascii="Times New Roman" w:hAnsi="Times New Roman" w:cs="Times New Roman"/>
        </w:rPr>
        <w:footnoteRef/>
      </w:r>
      <w:r w:rsidRPr="00B67C95">
        <w:rPr>
          <w:rFonts w:ascii="Times New Roman" w:hAnsi="Times New Roman" w:cs="Times New Roman"/>
        </w:rPr>
        <w:t xml:space="preserve"> I estimate similar models for special education expenditures in Appendix Table A</w:t>
      </w:r>
      <w:r w:rsidR="00500FF6">
        <w:rPr>
          <w:rFonts w:ascii="Times New Roman" w:hAnsi="Times New Roman" w:cs="Times New Roman"/>
        </w:rPr>
        <w:t>7</w:t>
      </w:r>
      <w:r w:rsidRPr="00B67C95">
        <w:rPr>
          <w:rFonts w:ascii="Times New Roman" w:hAnsi="Times New Roman" w:cs="Times New Roman"/>
        </w:rPr>
        <w:t>, although I do not find any significant trends.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7E141E"/>
    <w:multiLevelType w:val="hybridMultilevel"/>
    <w:tmpl w:val="05C26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8532D5"/>
    <w:multiLevelType w:val="hybridMultilevel"/>
    <w:tmpl w:val="A9F6E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5941237">
    <w:abstractNumId w:val="0"/>
  </w:num>
  <w:num w:numId="2" w16cid:durableId="3699149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36"/>
    <w:rsid w:val="00053D61"/>
    <w:rsid w:val="000540FE"/>
    <w:rsid w:val="0005466F"/>
    <w:rsid w:val="000674E9"/>
    <w:rsid w:val="000B3D1F"/>
    <w:rsid w:val="000C1B25"/>
    <w:rsid w:val="000E39F0"/>
    <w:rsid w:val="000E5EDE"/>
    <w:rsid w:val="000F74BE"/>
    <w:rsid w:val="001026B7"/>
    <w:rsid w:val="00117354"/>
    <w:rsid w:val="00194098"/>
    <w:rsid w:val="00197742"/>
    <w:rsid w:val="001A1945"/>
    <w:rsid w:val="001B279C"/>
    <w:rsid w:val="001B6D13"/>
    <w:rsid w:val="001B7C22"/>
    <w:rsid w:val="001B7E2B"/>
    <w:rsid w:val="001E68FF"/>
    <w:rsid w:val="00201A3C"/>
    <w:rsid w:val="00206153"/>
    <w:rsid w:val="00210EFE"/>
    <w:rsid w:val="0022579B"/>
    <w:rsid w:val="00227751"/>
    <w:rsid w:val="00262E8A"/>
    <w:rsid w:val="00264704"/>
    <w:rsid w:val="00285065"/>
    <w:rsid w:val="002A3202"/>
    <w:rsid w:val="002D0026"/>
    <w:rsid w:val="002E2F96"/>
    <w:rsid w:val="00304EE9"/>
    <w:rsid w:val="00310F21"/>
    <w:rsid w:val="0031535A"/>
    <w:rsid w:val="00327016"/>
    <w:rsid w:val="00352030"/>
    <w:rsid w:val="0037483B"/>
    <w:rsid w:val="00397F9A"/>
    <w:rsid w:val="003D38A4"/>
    <w:rsid w:val="003D56F3"/>
    <w:rsid w:val="003E6AEC"/>
    <w:rsid w:val="003F476B"/>
    <w:rsid w:val="003F59D5"/>
    <w:rsid w:val="00434EB7"/>
    <w:rsid w:val="00455157"/>
    <w:rsid w:val="00480D0C"/>
    <w:rsid w:val="004968D6"/>
    <w:rsid w:val="004B04EA"/>
    <w:rsid w:val="004C0096"/>
    <w:rsid w:val="004C171A"/>
    <w:rsid w:val="004E38E9"/>
    <w:rsid w:val="004E4692"/>
    <w:rsid w:val="00500FF6"/>
    <w:rsid w:val="005476FF"/>
    <w:rsid w:val="00554385"/>
    <w:rsid w:val="00555E09"/>
    <w:rsid w:val="005700B3"/>
    <w:rsid w:val="00574274"/>
    <w:rsid w:val="005744A1"/>
    <w:rsid w:val="00594458"/>
    <w:rsid w:val="005A39DC"/>
    <w:rsid w:val="005A3B1E"/>
    <w:rsid w:val="005F16EE"/>
    <w:rsid w:val="006147B0"/>
    <w:rsid w:val="0062487A"/>
    <w:rsid w:val="00627991"/>
    <w:rsid w:val="00673FBC"/>
    <w:rsid w:val="00675714"/>
    <w:rsid w:val="006827F2"/>
    <w:rsid w:val="006D26D0"/>
    <w:rsid w:val="006D2965"/>
    <w:rsid w:val="006D4868"/>
    <w:rsid w:val="006F034E"/>
    <w:rsid w:val="0070690A"/>
    <w:rsid w:val="00735945"/>
    <w:rsid w:val="00762D0B"/>
    <w:rsid w:val="00772CDA"/>
    <w:rsid w:val="007A7B00"/>
    <w:rsid w:val="007C4423"/>
    <w:rsid w:val="007D28B4"/>
    <w:rsid w:val="008329DC"/>
    <w:rsid w:val="00855A36"/>
    <w:rsid w:val="00886A77"/>
    <w:rsid w:val="008A7213"/>
    <w:rsid w:val="008B65FE"/>
    <w:rsid w:val="008D335A"/>
    <w:rsid w:val="008E3B6E"/>
    <w:rsid w:val="009178AB"/>
    <w:rsid w:val="009316A0"/>
    <w:rsid w:val="009522E9"/>
    <w:rsid w:val="00952ECB"/>
    <w:rsid w:val="009715BE"/>
    <w:rsid w:val="00974CAB"/>
    <w:rsid w:val="009773C2"/>
    <w:rsid w:val="00981222"/>
    <w:rsid w:val="00993FBF"/>
    <w:rsid w:val="00997B22"/>
    <w:rsid w:val="009A082F"/>
    <w:rsid w:val="009A23B1"/>
    <w:rsid w:val="009E1D45"/>
    <w:rsid w:val="009E38E2"/>
    <w:rsid w:val="009F0089"/>
    <w:rsid w:val="009F2987"/>
    <w:rsid w:val="009F418C"/>
    <w:rsid w:val="009F78BE"/>
    <w:rsid w:val="00A22350"/>
    <w:rsid w:val="00A3605F"/>
    <w:rsid w:val="00A42BB5"/>
    <w:rsid w:val="00A715AE"/>
    <w:rsid w:val="00A82068"/>
    <w:rsid w:val="00A96472"/>
    <w:rsid w:val="00A97CA0"/>
    <w:rsid w:val="00AA01F7"/>
    <w:rsid w:val="00AA1978"/>
    <w:rsid w:val="00AA6915"/>
    <w:rsid w:val="00AB3C0E"/>
    <w:rsid w:val="00AD2B85"/>
    <w:rsid w:val="00AF780B"/>
    <w:rsid w:val="00B0565A"/>
    <w:rsid w:val="00B56026"/>
    <w:rsid w:val="00B57C55"/>
    <w:rsid w:val="00B606BE"/>
    <w:rsid w:val="00B627F3"/>
    <w:rsid w:val="00B668B4"/>
    <w:rsid w:val="00B67C95"/>
    <w:rsid w:val="00B76E5C"/>
    <w:rsid w:val="00B84296"/>
    <w:rsid w:val="00B865CC"/>
    <w:rsid w:val="00BA04C8"/>
    <w:rsid w:val="00BB0D36"/>
    <w:rsid w:val="00BB1C62"/>
    <w:rsid w:val="00BB5470"/>
    <w:rsid w:val="00BC464F"/>
    <w:rsid w:val="00BD2B17"/>
    <w:rsid w:val="00BE0E40"/>
    <w:rsid w:val="00BF16F5"/>
    <w:rsid w:val="00BF1F95"/>
    <w:rsid w:val="00C21315"/>
    <w:rsid w:val="00C36D19"/>
    <w:rsid w:val="00C375A8"/>
    <w:rsid w:val="00C37CC6"/>
    <w:rsid w:val="00C42F15"/>
    <w:rsid w:val="00C56640"/>
    <w:rsid w:val="00C71CCB"/>
    <w:rsid w:val="00C8132A"/>
    <w:rsid w:val="00C874A3"/>
    <w:rsid w:val="00C90CBA"/>
    <w:rsid w:val="00CA5B17"/>
    <w:rsid w:val="00CD6D65"/>
    <w:rsid w:val="00CE161C"/>
    <w:rsid w:val="00CE1B86"/>
    <w:rsid w:val="00CE6ECB"/>
    <w:rsid w:val="00D0523E"/>
    <w:rsid w:val="00D41C47"/>
    <w:rsid w:val="00D53F7A"/>
    <w:rsid w:val="00D6562F"/>
    <w:rsid w:val="00D67708"/>
    <w:rsid w:val="00D70D5C"/>
    <w:rsid w:val="00D9011B"/>
    <w:rsid w:val="00D92B15"/>
    <w:rsid w:val="00DC24FA"/>
    <w:rsid w:val="00DC481A"/>
    <w:rsid w:val="00E1189B"/>
    <w:rsid w:val="00E14128"/>
    <w:rsid w:val="00E14F02"/>
    <w:rsid w:val="00E23032"/>
    <w:rsid w:val="00E35617"/>
    <w:rsid w:val="00E43973"/>
    <w:rsid w:val="00E667F9"/>
    <w:rsid w:val="00E713CD"/>
    <w:rsid w:val="00E74C09"/>
    <w:rsid w:val="00E83609"/>
    <w:rsid w:val="00ED29F2"/>
    <w:rsid w:val="00EE0412"/>
    <w:rsid w:val="00EF3B32"/>
    <w:rsid w:val="00F34350"/>
    <w:rsid w:val="00F40835"/>
    <w:rsid w:val="00F5042E"/>
    <w:rsid w:val="00F61C7B"/>
    <w:rsid w:val="00F6719F"/>
    <w:rsid w:val="00F8644B"/>
    <w:rsid w:val="00FB3B49"/>
    <w:rsid w:val="00FB6094"/>
    <w:rsid w:val="00FC12D7"/>
    <w:rsid w:val="00FC431E"/>
    <w:rsid w:val="00FD0F5F"/>
    <w:rsid w:val="00FE30FC"/>
    <w:rsid w:val="00FE4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6A80BD"/>
  <w15:chartTrackingRefBased/>
  <w15:docId w15:val="{4836AAF1-0D32-F44D-8741-A10E8A8C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D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D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D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D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D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D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D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D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D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D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D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D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D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D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D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D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D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D36"/>
    <w:rPr>
      <w:rFonts w:eastAsiaTheme="majorEastAsia" w:cstheme="majorBidi"/>
      <w:color w:val="272727" w:themeColor="text1" w:themeTint="D8"/>
    </w:rPr>
  </w:style>
  <w:style w:type="paragraph" w:styleId="Title">
    <w:name w:val="Title"/>
    <w:basedOn w:val="Normal"/>
    <w:next w:val="Normal"/>
    <w:link w:val="TitleChar"/>
    <w:uiPriority w:val="10"/>
    <w:qFormat/>
    <w:rsid w:val="00BB0D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D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D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D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D36"/>
    <w:pPr>
      <w:spacing w:before="160"/>
      <w:jc w:val="center"/>
    </w:pPr>
    <w:rPr>
      <w:i/>
      <w:iCs/>
      <w:color w:val="404040" w:themeColor="text1" w:themeTint="BF"/>
    </w:rPr>
  </w:style>
  <w:style w:type="character" w:customStyle="1" w:styleId="QuoteChar">
    <w:name w:val="Quote Char"/>
    <w:basedOn w:val="DefaultParagraphFont"/>
    <w:link w:val="Quote"/>
    <w:uiPriority w:val="29"/>
    <w:rsid w:val="00BB0D36"/>
    <w:rPr>
      <w:i/>
      <w:iCs/>
      <w:color w:val="404040" w:themeColor="text1" w:themeTint="BF"/>
    </w:rPr>
  </w:style>
  <w:style w:type="paragraph" w:styleId="ListParagraph">
    <w:name w:val="List Paragraph"/>
    <w:basedOn w:val="Normal"/>
    <w:uiPriority w:val="34"/>
    <w:qFormat/>
    <w:rsid w:val="00BB0D36"/>
    <w:pPr>
      <w:ind w:left="720"/>
      <w:contextualSpacing/>
    </w:pPr>
  </w:style>
  <w:style w:type="character" w:styleId="IntenseEmphasis">
    <w:name w:val="Intense Emphasis"/>
    <w:basedOn w:val="DefaultParagraphFont"/>
    <w:uiPriority w:val="21"/>
    <w:qFormat/>
    <w:rsid w:val="00BB0D36"/>
    <w:rPr>
      <w:i/>
      <w:iCs/>
      <w:color w:val="0F4761" w:themeColor="accent1" w:themeShade="BF"/>
    </w:rPr>
  </w:style>
  <w:style w:type="paragraph" w:styleId="IntenseQuote">
    <w:name w:val="Intense Quote"/>
    <w:basedOn w:val="Normal"/>
    <w:next w:val="Normal"/>
    <w:link w:val="IntenseQuoteChar"/>
    <w:uiPriority w:val="30"/>
    <w:qFormat/>
    <w:rsid w:val="00BB0D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D36"/>
    <w:rPr>
      <w:i/>
      <w:iCs/>
      <w:color w:val="0F4761" w:themeColor="accent1" w:themeShade="BF"/>
    </w:rPr>
  </w:style>
  <w:style w:type="character" w:styleId="IntenseReference">
    <w:name w:val="Intense Reference"/>
    <w:basedOn w:val="DefaultParagraphFont"/>
    <w:uiPriority w:val="32"/>
    <w:qFormat/>
    <w:rsid w:val="00BB0D36"/>
    <w:rPr>
      <w:b/>
      <w:bCs/>
      <w:smallCaps/>
      <w:color w:val="0F4761" w:themeColor="accent1" w:themeShade="BF"/>
      <w:spacing w:val="5"/>
    </w:rPr>
  </w:style>
  <w:style w:type="paragraph" w:styleId="FootnoteText">
    <w:name w:val="footnote text"/>
    <w:basedOn w:val="Normal"/>
    <w:link w:val="FootnoteTextChar"/>
    <w:uiPriority w:val="99"/>
    <w:semiHidden/>
    <w:unhideWhenUsed/>
    <w:rsid w:val="00555E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E09"/>
    <w:rPr>
      <w:sz w:val="20"/>
      <w:szCs w:val="20"/>
    </w:rPr>
  </w:style>
  <w:style w:type="character" w:styleId="FootnoteReference">
    <w:name w:val="footnote reference"/>
    <w:basedOn w:val="DefaultParagraphFont"/>
    <w:uiPriority w:val="99"/>
    <w:semiHidden/>
    <w:unhideWhenUsed/>
    <w:rsid w:val="00555E09"/>
    <w:rPr>
      <w:vertAlign w:val="superscript"/>
    </w:rPr>
  </w:style>
  <w:style w:type="character" w:styleId="CommentReference">
    <w:name w:val="annotation reference"/>
    <w:basedOn w:val="DefaultParagraphFont"/>
    <w:uiPriority w:val="99"/>
    <w:semiHidden/>
    <w:unhideWhenUsed/>
    <w:rsid w:val="00264704"/>
    <w:rPr>
      <w:sz w:val="16"/>
      <w:szCs w:val="16"/>
    </w:rPr>
  </w:style>
  <w:style w:type="paragraph" w:styleId="CommentText">
    <w:name w:val="annotation text"/>
    <w:basedOn w:val="Normal"/>
    <w:link w:val="CommentTextChar"/>
    <w:uiPriority w:val="99"/>
    <w:semiHidden/>
    <w:unhideWhenUsed/>
    <w:rsid w:val="00264704"/>
    <w:pPr>
      <w:spacing w:line="240" w:lineRule="auto"/>
    </w:pPr>
    <w:rPr>
      <w:sz w:val="20"/>
      <w:szCs w:val="20"/>
    </w:rPr>
  </w:style>
  <w:style w:type="character" w:customStyle="1" w:styleId="CommentTextChar">
    <w:name w:val="Comment Text Char"/>
    <w:basedOn w:val="DefaultParagraphFont"/>
    <w:link w:val="CommentText"/>
    <w:uiPriority w:val="99"/>
    <w:semiHidden/>
    <w:rsid w:val="00264704"/>
    <w:rPr>
      <w:sz w:val="20"/>
      <w:szCs w:val="20"/>
    </w:rPr>
  </w:style>
  <w:style w:type="paragraph" w:styleId="CommentSubject">
    <w:name w:val="annotation subject"/>
    <w:basedOn w:val="CommentText"/>
    <w:next w:val="CommentText"/>
    <w:link w:val="CommentSubjectChar"/>
    <w:uiPriority w:val="99"/>
    <w:semiHidden/>
    <w:unhideWhenUsed/>
    <w:rsid w:val="00264704"/>
    <w:rPr>
      <w:b/>
      <w:bCs/>
    </w:rPr>
  </w:style>
  <w:style w:type="character" w:customStyle="1" w:styleId="CommentSubjectChar">
    <w:name w:val="Comment Subject Char"/>
    <w:basedOn w:val="CommentTextChar"/>
    <w:link w:val="CommentSubject"/>
    <w:uiPriority w:val="99"/>
    <w:semiHidden/>
    <w:rsid w:val="00264704"/>
    <w:rPr>
      <w:b/>
      <w:bCs/>
      <w:sz w:val="20"/>
      <w:szCs w:val="20"/>
    </w:rPr>
  </w:style>
  <w:style w:type="character" w:styleId="PlaceholderText">
    <w:name w:val="Placeholder Text"/>
    <w:basedOn w:val="DefaultParagraphFont"/>
    <w:uiPriority w:val="99"/>
    <w:semiHidden/>
    <w:rsid w:val="0070690A"/>
    <w:rPr>
      <w:color w:val="666666"/>
    </w:rPr>
  </w:style>
  <w:style w:type="paragraph" w:styleId="Header">
    <w:name w:val="header"/>
    <w:basedOn w:val="Normal"/>
    <w:link w:val="HeaderChar"/>
    <w:uiPriority w:val="99"/>
    <w:unhideWhenUsed/>
    <w:rsid w:val="00102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6B7"/>
  </w:style>
  <w:style w:type="paragraph" w:styleId="Footer">
    <w:name w:val="footer"/>
    <w:basedOn w:val="Normal"/>
    <w:link w:val="FooterChar"/>
    <w:uiPriority w:val="99"/>
    <w:unhideWhenUsed/>
    <w:rsid w:val="00102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6B7"/>
  </w:style>
  <w:style w:type="character" w:styleId="PageNumber">
    <w:name w:val="page number"/>
    <w:basedOn w:val="DefaultParagraphFont"/>
    <w:uiPriority w:val="99"/>
    <w:semiHidden/>
    <w:unhideWhenUsed/>
    <w:rsid w:val="001026B7"/>
  </w:style>
  <w:style w:type="character" w:styleId="Hyperlink">
    <w:name w:val="Hyperlink"/>
    <w:basedOn w:val="DefaultParagraphFont"/>
    <w:uiPriority w:val="99"/>
    <w:semiHidden/>
    <w:unhideWhenUsed/>
    <w:rsid w:val="00627991"/>
    <w:rPr>
      <w:color w:val="0000FF"/>
      <w:u w:val="single"/>
    </w:rPr>
  </w:style>
  <w:style w:type="table" w:styleId="TableGrid">
    <w:name w:val="Table Grid"/>
    <w:basedOn w:val="TableNormal"/>
    <w:uiPriority w:val="39"/>
    <w:rsid w:val="009E1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307/1885931" TargetMode="External"/><Relationship Id="rId18" Type="http://schemas.openxmlformats.org/officeDocument/2006/relationships/hyperlink" Target="https://doi.org/10.2307/1923938" TargetMode="External"/><Relationship Id="rId26" Type="http://schemas.openxmlformats.org/officeDocument/2006/relationships/hyperlink" Target="https://doi.org/10.17310/ntj.2000.1.09" TargetMode="External"/><Relationship Id="rId39" Type="http://schemas.openxmlformats.org/officeDocument/2006/relationships/hyperlink" Target="https://doi.org/10.1177/1091142107306287" TargetMode="External"/><Relationship Id="rId21" Type="http://schemas.openxmlformats.org/officeDocument/2006/relationships/hyperlink" Target="https://doi.org/10.1257/aer.20181169" TargetMode="External"/><Relationship Id="rId34" Type="http://schemas.openxmlformats.org/officeDocument/2006/relationships/hyperlink" Target="https://doi.org/10.1257/000282802760015612" TargetMode="External"/><Relationship Id="rId42" Type="http://schemas.openxmlformats.org/officeDocument/2006/relationships/hyperlink" Target="https://doi.org/10.1596/1813-9450-4039" TargetMode="External"/><Relationship Id="rId47" Type="http://schemas.openxmlformats.org/officeDocument/2006/relationships/image" Target="media/image1.png"/><Relationship Id="rId50" Type="http://schemas.openxmlformats.org/officeDocument/2006/relationships/image" Target="media/image4.png"/><Relationship Id="rId55" Type="http://schemas.openxmlformats.org/officeDocument/2006/relationships/image" Target="media/image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48550/arXiv.2107.02637" TargetMode="External"/><Relationship Id="rId29" Type="http://schemas.openxmlformats.org/officeDocument/2006/relationships/hyperlink" Target="https://www.jstor.org/stable/2534084" TargetMode="External"/><Relationship Id="rId11" Type="http://schemas.openxmlformats.org/officeDocument/2006/relationships/hyperlink" Target="https://education.msu.edu/ed-policy-phd/pdf/Michigan-School-Finance-at-the-Crossroads-A-Quarter-Center-of-State-Control.pdf" TargetMode="External"/><Relationship Id="rId24" Type="http://schemas.openxmlformats.org/officeDocument/2006/relationships/hyperlink" Target="https://doi.org/10.1086/NTJ41789325" TargetMode="External"/><Relationship Id="rId32" Type="http://schemas.openxmlformats.org/officeDocument/2006/relationships/hyperlink" Target="https://sites.ed.gov/idea/statuteregulations/" TargetMode="External"/><Relationship Id="rId37" Type="http://schemas.openxmlformats.org/officeDocument/2006/relationships/hyperlink" Target="https://doi.org/10.1111/pbaf.12026" TargetMode="External"/><Relationship Id="rId40" Type="http://schemas.openxmlformats.org/officeDocument/2006/relationships/hyperlink" Target="https://doi.org/10.1111/1468-0009.12643" TargetMode="External"/><Relationship Id="rId45" Type="http://schemas.openxmlformats.org/officeDocument/2006/relationships/hyperlink" Target="https://doi.org/10.3102/00346543053003329" TargetMode="External"/><Relationship Id="rId53" Type="http://schemas.openxmlformats.org/officeDocument/2006/relationships/image" Target="media/image7.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doi.org/10.7551/mitpress/3469.001.0001"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shs.hal.science/halshs-01285021" TargetMode="External"/><Relationship Id="rId22" Type="http://schemas.openxmlformats.org/officeDocument/2006/relationships/hyperlink" Target="https://doi.org/10.3102/01623737026003199" TargetMode="External"/><Relationship Id="rId27" Type="http://schemas.openxmlformats.org/officeDocument/2006/relationships/hyperlink" Target="https://doi.org/10.1257/app.20150509" TargetMode="External"/><Relationship Id="rId30" Type="http://schemas.openxmlformats.org/officeDocument/2006/relationships/hyperlink" Target="https://doi.org/10.1257/jep.9.4.217" TargetMode="External"/><Relationship Id="rId35" Type="http://schemas.openxmlformats.org/officeDocument/2006/relationships/hyperlink" Target="http://nepc.colorado.edu/publication/special-ed" TargetMode="External"/><Relationship Id="rId43" Type="http://schemas.openxmlformats.org/officeDocument/2006/relationships/hyperlink" Target="https://doi.org/10.1016/j.jpubeco.2007.05.005" TargetMode="External"/><Relationship Id="rId48" Type="http://schemas.openxmlformats.org/officeDocument/2006/relationships/image" Target="media/image2.png"/><Relationship Id="rId56" Type="http://schemas.openxmlformats.org/officeDocument/2006/relationships/image" Target="media/image10.png"/><Relationship Id="rId8" Type="http://schemas.openxmlformats.org/officeDocument/2006/relationships/footer" Target="footer1.xml"/><Relationship Id="rId51" Type="http://schemas.openxmlformats.org/officeDocument/2006/relationships/image" Target="media/image5.jpg"/><Relationship Id="rId3" Type="http://schemas.openxmlformats.org/officeDocument/2006/relationships/styles" Target="styles.xml"/><Relationship Id="rId12" Type="http://schemas.openxmlformats.org/officeDocument/2006/relationships/hyperlink" Target="https://doi.org/10.1093/qje/qjaf013" TargetMode="External"/><Relationship Id="rId17" Type="http://schemas.openxmlformats.org/officeDocument/2006/relationships/hyperlink" Target="https://doi.org/10.1257/pol.5.3.126" TargetMode="External"/><Relationship Id="rId25" Type="http://schemas.openxmlformats.org/officeDocument/2006/relationships/hyperlink" Target="https://doi.org/10.1016/S0047-2727(97)00047-9" TargetMode="External"/><Relationship Id="rId33" Type="http://schemas.openxmlformats.org/officeDocument/2006/relationships/hyperlink" Target="https://doi.org/10.4324/9781315626604" TargetMode="External"/><Relationship Id="rId38" Type="http://schemas.openxmlformats.org/officeDocument/2006/relationships/hyperlink" Target="https://doi.org/10.1016/j.jpubeco.2004.05.008" TargetMode="External"/><Relationship Id="rId46" Type="http://schemas.openxmlformats.org/officeDocument/2006/relationships/hyperlink" Target="https://doi.org/10.1007/s00181-025-02807-z" TargetMode="External"/><Relationship Id="rId59" Type="http://schemas.openxmlformats.org/officeDocument/2006/relationships/theme" Target="theme/theme1.xml"/><Relationship Id="rId20" Type="http://schemas.openxmlformats.org/officeDocument/2006/relationships/hyperlink" Target="https://doi.org/10.1007/s10797-010-9160-x" TargetMode="External"/><Relationship Id="rId41" Type="http://schemas.openxmlformats.org/officeDocument/2006/relationships/hyperlink" Target="https://doi.org/10.1111/j.1540-5850.2005.00374.x" TargetMode="External"/><Relationship Id="rId54"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picedpolicy.org/funding-michigans-future-k-12-finance-report/" TargetMode="External"/><Relationship Id="rId23" Type="http://schemas.openxmlformats.org/officeDocument/2006/relationships/hyperlink" Target="https://doi.org/10.1353/rhe.2005.0081" TargetMode="External"/><Relationship Id="rId28" Type="http://schemas.openxmlformats.org/officeDocument/2006/relationships/hyperlink" Target="https://doi.org/10.1016/j.jpubeco.2003.09.002" TargetMode="External"/><Relationship Id="rId36" Type="http://schemas.openxmlformats.org/officeDocument/2006/relationships/hyperlink" Target="https://www.brookings.edu/articles/more-money-is-not-enough-the-case-for-reconsidering-federal-special-education-funding-formulas/" TargetMode="External"/><Relationship Id="rId49" Type="http://schemas.openxmlformats.org/officeDocument/2006/relationships/image" Target="media/image3.jpeg"/><Relationship Id="rId57" Type="http://schemas.openxmlformats.org/officeDocument/2006/relationships/image" Target="media/image11.png"/><Relationship Id="rId10" Type="http://schemas.openxmlformats.org/officeDocument/2006/relationships/hyperlink" Target="https://doi.org/10.1257/aer.20190159" TargetMode="External"/><Relationship Id="rId31" Type="http://schemas.openxmlformats.org/officeDocument/2006/relationships/hyperlink" Target="https://doi.org/10.1162/003355301753265552" TargetMode="External"/><Relationship Id="rId44" Type="http://schemas.openxmlformats.org/officeDocument/2006/relationships/hyperlink" Target="https://doi.org/10.1177/1091142112446845" TargetMode="External"/><Relationship Id="rId5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708C4-3289-EC41-8A68-D456DE9D5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12491</Words>
  <Characters>71205</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Guzman</dc:creator>
  <cp:keywords/>
  <dc:description/>
  <cp:lastModifiedBy>Guzman, Matthew</cp:lastModifiedBy>
  <cp:revision>2</cp:revision>
  <cp:lastPrinted>2026-08-10T21:51:00Z</cp:lastPrinted>
  <dcterms:created xsi:type="dcterms:W3CDTF">2026-08-18T14:21:00Z</dcterms:created>
  <dcterms:modified xsi:type="dcterms:W3CDTF">2026-08-18T14:21:00Z</dcterms:modified>
</cp:coreProperties>
</file>